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Pr="00480843" w:rsidRDefault="00AE5AA3" w:rsidP="00436DF6">
      <w:pPr>
        <w:jc w:val="center"/>
        <w:rPr>
          <w:rFonts w:ascii="Arial" w:eastAsia="Times New Roman" w:hAnsi="Arial" w:cs="Arial"/>
          <w:color w:val="333333"/>
          <w:sz w:val="2"/>
          <w:szCs w:val="2"/>
        </w:rPr>
      </w:pPr>
      <w:r>
        <w:rPr>
          <w:b/>
          <w:sz w:val="24"/>
          <w:szCs w:val="24"/>
        </w:rPr>
        <w:t>Vincent Properties, Inc.</w:t>
      </w:r>
    </w:p>
    <w:p w:rsidR="004A6C0F" w:rsidRDefault="00CD0AF8" w:rsidP="00F445E5">
      <w:pPr>
        <w:spacing w:before="100" w:beforeAutospacing="1" w:after="100" w:afterAutospacing="1"/>
        <w:rPr>
          <w:rFonts w:ascii="Times New Roman" w:eastAsia="Times New Roman" w:hAnsi="Times New Roman"/>
          <w:color w:val="000000"/>
          <w:sz w:val="24"/>
          <w:szCs w:val="24"/>
        </w:rPr>
      </w:pPr>
      <w:r>
        <w:rPr>
          <w:noProof/>
        </w:rPr>
        <w:drawing>
          <wp:anchor distT="0" distB="0" distL="114300" distR="114300" simplePos="0" relativeHeight="251659776" behindDoc="1" locked="0" layoutInCell="1" allowOverlap="1">
            <wp:simplePos x="0" y="0"/>
            <wp:positionH relativeFrom="margin">
              <wp:posOffset>955440</wp:posOffset>
            </wp:positionH>
            <wp:positionV relativeFrom="paragraph">
              <wp:posOffset>14956</wp:posOffset>
            </wp:positionV>
            <wp:extent cx="4324857" cy="222159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30135" cy="2224309"/>
                    </a:xfrm>
                    <a:prstGeom prst="rect">
                      <a:avLst/>
                    </a:prstGeom>
                  </pic:spPr>
                </pic:pic>
              </a:graphicData>
            </a:graphic>
            <wp14:sizeRelH relativeFrom="margin">
              <wp14:pctWidth>0</wp14:pctWidth>
            </wp14:sizeRelH>
            <wp14:sizeRelV relativeFrom="margin">
              <wp14:pctHeight>0</wp14:pctHeight>
            </wp14:sizeRelV>
          </wp:anchor>
        </w:drawing>
      </w:r>
      <w:r w:rsidR="00F445E5">
        <w:rPr>
          <w:rFonts w:ascii="Times New Roman" w:eastAsia="Times New Roman" w:hAnsi="Times New Roman"/>
          <w:color w:val="000000"/>
          <w:sz w:val="24"/>
          <w:szCs w:val="24"/>
        </w:rPr>
        <w:t xml:space="preserve">          </w:t>
      </w:r>
      <w:r w:rsidR="00FD1602">
        <w:rPr>
          <w:rFonts w:ascii="Times New Roman" w:eastAsia="Times New Roman" w:hAnsi="Times New Roman"/>
          <w:color w:val="000000"/>
          <w:sz w:val="24"/>
          <w:szCs w:val="24"/>
        </w:rPr>
        <w:t xml:space="preserve"> </w:t>
      </w:r>
      <w:r w:rsidR="00F445E5">
        <w:rPr>
          <w:rFonts w:ascii="Times New Roman" w:eastAsia="Times New Roman" w:hAnsi="Times New Roman"/>
          <w:color w:val="000000"/>
          <w:sz w:val="24"/>
          <w:szCs w:val="24"/>
        </w:rPr>
        <w:t xml:space="preserve"> </w:t>
      </w:r>
    </w:p>
    <w:p w:rsidR="004A6C0F" w:rsidRDefault="004A6C0F" w:rsidP="00F445E5">
      <w:pPr>
        <w:spacing w:before="100" w:beforeAutospacing="1" w:after="100" w:afterAutospacing="1"/>
        <w:rPr>
          <w:rFonts w:ascii="Times New Roman" w:eastAsia="Times New Roman" w:hAnsi="Times New Roman"/>
          <w:color w:val="000000"/>
          <w:sz w:val="24"/>
          <w:szCs w:val="24"/>
        </w:rPr>
      </w:pPr>
    </w:p>
    <w:p w:rsidR="004A6C0F" w:rsidRDefault="004A6C0F" w:rsidP="00F445E5">
      <w:pPr>
        <w:spacing w:before="100" w:beforeAutospacing="1" w:after="100" w:afterAutospacing="1"/>
        <w:rPr>
          <w:rFonts w:ascii="Times New Roman" w:eastAsia="Times New Roman" w:hAnsi="Times New Roman"/>
          <w:color w:val="000000"/>
          <w:sz w:val="24"/>
          <w:szCs w:val="24"/>
        </w:rPr>
      </w:pPr>
    </w:p>
    <w:p w:rsidR="004A6C0F" w:rsidRDefault="004A6C0F" w:rsidP="00F445E5">
      <w:pPr>
        <w:spacing w:before="100" w:beforeAutospacing="1" w:after="100" w:afterAutospacing="1"/>
        <w:rPr>
          <w:rFonts w:ascii="Times New Roman" w:eastAsia="Times New Roman" w:hAnsi="Times New Roman"/>
          <w:color w:val="000000"/>
          <w:sz w:val="24"/>
          <w:szCs w:val="24"/>
        </w:rPr>
      </w:pPr>
    </w:p>
    <w:p w:rsidR="004A6C0F" w:rsidRDefault="004A6C0F" w:rsidP="00F445E5">
      <w:pPr>
        <w:spacing w:before="100" w:beforeAutospacing="1" w:after="100" w:afterAutospacing="1"/>
        <w:rPr>
          <w:rFonts w:ascii="Times New Roman" w:eastAsia="Times New Roman" w:hAnsi="Times New Roman"/>
          <w:color w:val="000000"/>
          <w:sz w:val="24"/>
          <w:szCs w:val="24"/>
        </w:rPr>
      </w:pPr>
    </w:p>
    <w:p w:rsidR="00CB3075" w:rsidRDefault="00FD1602" w:rsidP="00F445E5">
      <w:pPr>
        <w:spacing w:before="100" w:beforeAutospacing="1" w:after="100" w:afterAutospacing="1"/>
        <w:rPr>
          <w:rFonts w:ascii="Times New Roman" w:eastAsia="Times New Roman" w:hAnsi="Times New Roman"/>
          <w:noProof/>
          <w:color w:val="000000"/>
          <w:sz w:val="24"/>
          <w:szCs w:val="24"/>
        </w:rPr>
      </w:pPr>
      <w:r>
        <w:rPr>
          <w:rFonts w:ascii="Times New Roman" w:eastAsia="Times New Roman" w:hAnsi="Times New Roman"/>
          <w:color w:val="000000"/>
          <w:sz w:val="24"/>
          <w:szCs w:val="24"/>
        </w:rPr>
        <w:t xml:space="preserve">    </w:t>
      </w:r>
      <w:r w:rsidR="00301E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F445E5">
        <w:rPr>
          <w:rFonts w:ascii="Times New Roman" w:eastAsia="Times New Roman" w:hAnsi="Times New Roman"/>
          <w:color w:val="000000"/>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4A6C0F">
        <w:tc>
          <w:tcPr>
            <w:tcW w:w="2178" w:type="dxa"/>
            <w:shd w:val="clear" w:color="auto" w:fill="C6D9F1"/>
          </w:tcPr>
          <w:p w:rsidR="00556737" w:rsidRDefault="00556737" w:rsidP="004A6C0F">
            <w:pPr>
              <w:rPr>
                <w:b/>
                <w:sz w:val="24"/>
                <w:szCs w:val="24"/>
              </w:rPr>
            </w:pPr>
          </w:p>
          <w:p w:rsidR="004A6C0F" w:rsidRPr="00F87715" w:rsidRDefault="004A6C0F" w:rsidP="004A6C0F">
            <w:pPr>
              <w:rPr>
                <w:b/>
                <w:sz w:val="24"/>
                <w:szCs w:val="24"/>
              </w:rPr>
            </w:pPr>
          </w:p>
        </w:tc>
        <w:tc>
          <w:tcPr>
            <w:tcW w:w="7398" w:type="dxa"/>
            <w:gridSpan w:val="2"/>
            <w:shd w:val="clear" w:color="auto" w:fill="C6D9F1"/>
          </w:tcPr>
          <w:p w:rsidR="00556737" w:rsidRPr="00DF7A5D" w:rsidRDefault="00AE5AA3" w:rsidP="004A6C0F">
            <w:pPr>
              <w:rPr>
                <w:b/>
                <w:sz w:val="24"/>
                <w:szCs w:val="24"/>
              </w:rPr>
            </w:pPr>
            <w:r w:rsidRPr="00DF7A5D">
              <w:rPr>
                <w:b/>
                <w:sz w:val="24"/>
                <w:szCs w:val="24"/>
              </w:rPr>
              <w:t>Vincent Properties, Inc.</w:t>
            </w:r>
            <w:r w:rsidR="00BF2687" w:rsidRPr="00DF7A5D">
              <w:rPr>
                <w:b/>
                <w:sz w:val="24"/>
                <w:szCs w:val="24"/>
              </w:rPr>
              <w:t xml:space="preserve"> </w:t>
            </w:r>
          </w:p>
          <w:p w:rsidR="00BF2687" w:rsidRPr="00620E95" w:rsidRDefault="00BF2687" w:rsidP="004A6C0F">
            <w:pPr>
              <w:rPr>
                <w:sz w:val="24"/>
                <w:szCs w:val="24"/>
              </w:rPr>
            </w:pPr>
          </w:p>
        </w:tc>
      </w:tr>
      <w:tr w:rsidR="00556737" w:rsidRPr="00556737" w:rsidTr="004A6C0F">
        <w:tc>
          <w:tcPr>
            <w:tcW w:w="2178" w:type="dxa"/>
          </w:tcPr>
          <w:p w:rsidR="00556737" w:rsidRPr="00F87715" w:rsidRDefault="00556737" w:rsidP="004A6C0F">
            <w:pPr>
              <w:rPr>
                <w:b/>
                <w:sz w:val="24"/>
                <w:szCs w:val="24"/>
              </w:rPr>
            </w:pPr>
            <w:r w:rsidRPr="00F87715">
              <w:rPr>
                <w:b/>
                <w:sz w:val="24"/>
                <w:szCs w:val="24"/>
              </w:rPr>
              <w:t>Project Location:</w:t>
            </w:r>
          </w:p>
        </w:tc>
        <w:tc>
          <w:tcPr>
            <w:tcW w:w="7398" w:type="dxa"/>
            <w:gridSpan w:val="2"/>
          </w:tcPr>
          <w:p w:rsidR="00B745C9" w:rsidRPr="00DF7A5D" w:rsidRDefault="00CD0AF8" w:rsidP="004A6C0F">
            <w:pPr>
              <w:rPr>
                <w:sz w:val="21"/>
                <w:szCs w:val="21"/>
              </w:rPr>
            </w:pPr>
            <w:r w:rsidRPr="00DF7A5D">
              <w:rPr>
                <w:sz w:val="21"/>
                <w:szCs w:val="21"/>
              </w:rPr>
              <w:t xml:space="preserve">41 </w:t>
            </w:r>
            <w:r w:rsidR="00AE5AA3" w:rsidRPr="00DF7A5D">
              <w:rPr>
                <w:sz w:val="21"/>
                <w:szCs w:val="21"/>
              </w:rPr>
              <w:t>Lexington Court</w:t>
            </w:r>
            <w:r w:rsidR="00B745C9" w:rsidRPr="00DF7A5D">
              <w:rPr>
                <w:sz w:val="21"/>
                <w:szCs w:val="21"/>
              </w:rPr>
              <w:t xml:space="preserve"> </w:t>
            </w:r>
            <w:r w:rsidR="006D520F">
              <w:rPr>
                <w:sz w:val="21"/>
                <w:szCs w:val="21"/>
              </w:rPr>
              <w:t>and adjacent addresses</w:t>
            </w:r>
          </w:p>
          <w:p w:rsidR="0077572D" w:rsidRPr="00DF7A5D" w:rsidRDefault="00AE5AA3" w:rsidP="004A6C0F">
            <w:pPr>
              <w:rPr>
                <w:sz w:val="21"/>
                <w:szCs w:val="21"/>
              </w:rPr>
            </w:pPr>
            <w:r w:rsidRPr="00DF7A5D">
              <w:rPr>
                <w:sz w:val="21"/>
                <w:szCs w:val="21"/>
              </w:rPr>
              <w:t>City of</w:t>
            </w:r>
            <w:r w:rsidR="00CD0AF8" w:rsidRPr="00DF7A5D">
              <w:rPr>
                <w:sz w:val="21"/>
                <w:szCs w:val="21"/>
              </w:rPr>
              <w:t xml:space="preserve"> Lockport</w:t>
            </w:r>
          </w:p>
        </w:tc>
      </w:tr>
      <w:tr w:rsidR="00556737" w:rsidRPr="00556737" w:rsidTr="004A6C0F">
        <w:tc>
          <w:tcPr>
            <w:tcW w:w="2178" w:type="dxa"/>
          </w:tcPr>
          <w:p w:rsidR="00556737" w:rsidRPr="00F87715" w:rsidRDefault="00556737" w:rsidP="004A6C0F">
            <w:pPr>
              <w:rPr>
                <w:b/>
                <w:sz w:val="24"/>
                <w:szCs w:val="24"/>
              </w:rPr>
            </w:pPr>
            <w:r w:rsidRPr="00F87715">
              <w:rPr>
                <w:b/>
                <w:sz w:val="24"/>
                <w:szCs w:val="24"/>
              </w:rPr>
              <w:t>Assistance:</w:t>
            </w:r>
          </w:p>
        </w:tc>
        <w:tc>
          <w:tcPr>
            <w:tcW w:w="7398" w:type="dxa"/>
            <w:gridSpan w:val="2"/>
          </w:tcPr>
          <w:p w:rsidR="00FC7895" w:rsidRPr="00DF7A5D" w:rsidRDefault="00431E9D" w:rsidP="004A6C0F">
            <w:pPr>
              <w:rPr>
                <w:sz w:val="21"/>
                <w:szCs w:val="21"/>
              </w:rPr>
            </w:pPr>
            <w:r>
              <w:rPr>
                <w:sz w:val="21"/>
                <w:szCs w:val="21"/>
              </w:rPr>
              <w:t>15</w:t>
            </w:r>
            <w:r w:rsidR="00FC7895" w:rsidRPr="00DF7A5D">
              <w:rPr>
                <w:sz w:val="21"/>
                <w:szCs w:val="21"/>
              </w:rPr>
              <w:t xml:space="preserve"> Year </w:t>
            </w:r>
            <w:r w:rsidR="00C06D4F">
              <w:rPr>
                <w:sz w:val="21"/>
                <w:szCs w:val="21"/>
              </w:rPr>
              <w:t xml:space="preserve">fixed payment </w:t>
            </w:r>
            <w:r w:rsidR="00FC7895" w:rsidRPr="00DF7A5D">
              <w:rPr>
                <w:sz w:val="21"/>
                <w:szCs w:val="21"/>
              </w:rPr>
              <w:t>PILOT</w:t>
            </w:r>
          </w:p>
          <w:p w:rsidR="00011177" w:rsidRPr="00DF7A5D" w:rsidRDefault="00F6535A" w:rsidP="004A6C0F">
            <w:pPr>
              <w:rPr>
                <w:sz w:val="21"/>
                <w:szCs w:val="21"/>
              </w:rPr>
            </w:pPr>
            <w:r w:rsidRPr="00DF7A5D">
              <w:rPr>
                <w:sz w:val="21"/>
                <w:szCs w:val="21"/>
              </w:rPr>
              <w:t xml:space="preserve">Mortgage Recording Tax Abatement </w:t>
            </w:r>
          </w:p>
        </w:tc>
      </w:tr>
      <w:tr w:rsidR="00556737" w:rsidRPr="00556737" w:rsidTr="004A6C0F">
        <w:tc>
          <w:tcPr>
            <w:tcW w:w="2178" w:type="dxa"/>
          </w:tcPr>
          <w:p w:rsidR="00556737" w:rsidRPr="00F87715" w:rsidRDefault="00556737" w:rsidP="004A6C0F">
            <w:pPr>
              <w:rPr>
                <w:b/>
                <w:sz w:val="24"/>
                <w:szCs w:val="24"/>
              </w:rPr>
            </w:pPr>
            <w:r w:rsidRPr="00F87715">
              <w:rPr>
                <w:b/>
                <w:sz w:val="24"/>
                <w:szCs w:val="24"/>
              </w:rPr>
              <w:t>Description:</w:t>
            </w:r>
          </w:p>
        </w:tc>
        <w:tc>
          <w:tcPr>
            <w:tcW w:w="7398" w:type="dxa"/>
            <w:gridSpan w:val="2"/>
          </w:tcPr>
          <w:p w:rsidR="000E1521" w:rsidRPr="00DF7A5D" w:rsidRDefault="00CD0AF8" w:rsidP="000E1521">
            <w:pPr>
              <w:shd w:val="clear" w:color="auto" w:fill="FFFFFF"/>
              <w:rPr>
                <w:rFonts w:cs="Arial"/>
                <w:sz w:val="21"/>
                <w:szCs w:val="21"/>
                <w:shd w:val="clear" w:color="auto" w:fill="FFFFFF"/>
              </w:rPr>
            </w:pPr>
            <w:r w:rsidRPr="00DF7A5D">
              <w:rPr>
                <w:rFonts w:cs="Arial"/>
                <w:sz w:val="21"/>
                <w:szCs w:val="21"/>
                <w:shd w:val="clear" w:color="auto" w:fill="FFFFFF"/>
              </w:rPr>
              <w:t>Vincent Properties is a non-profit owner of assisted living facili</w:t>
            </w:r>
            <w:r w:rsidR="00DF60E4">
              <w:rPr>
                <w:rFonts w:cs="Arial"/>
                <w:sz w:val="21"/>
                <w:szCs w:val="21"/>
                <w:shd w:val="clear" w:color="auto" w:fill="FFFFFF"/>
              </w:rPr>
              <w:t>ties in Western New York.  The C</w:t>
            </w:r>
            <w:r w:rsidRPr="00DF7A5D">
              <w:rPr>
                <w:rFonts w:cs="Arial"/>
                <w:sz w:val="21"/>
                <w:szCs w:val="21"/>
                <w:shd w:val="clear" w:color="auto" w:fill="FFFFFF"/>
              </w:rPr>
              <w:t>ompany is under contract to purchase the Heritag</w:t>
            </w:r>
            <w:r w:rsidR="000E1521" w:rsidRPr="00DF7A5D">
              <w:rPr>
                <w:rFonts w:cs="Arial"/>
                <w:sz w:val="21"/>
                <w:szCs w:val="21"/>
                <w:shd w:val="clear" w:color="auto" w:fill="FFFFFF"/>
              </w:rPr>
              <w:t>e</w:t>
            </w:r>
            <w:r w:rsidRPr="00DF7A5D">
              <w:rPr>
                <w:rFonts w:cs="Arial"/>
                <w:sz w:val="21"/>
                <w:szCs w:val="21"/>
                <w:shd w:val="clear" w:color="auto" w:fill="FFFFFF"/>
              </w:rPr>
              <w:t xml:space="preserve"> Manor of Lockport, a 40 r</w:t>
            </w:r>
            <w:r w:rsidR="000E1521" w:rsidRPr="00DF7A5D">
              <w:rPr>
                <w:rFonts w:cs="Arial"/>
                <w:sz w:val="21"/>
                <w:szCs w:val="21"/>
                <w:shd w:val="clear" w:color="auto" w:fill="FFFFFF"/>
              </w:rPr>
              <w:t>o</w:t>
            </w:r>
            <w:r w:rsidRPr="00DF7A5D">
              <w:rPr>
                <w:rFonts w:cs="Arial"/>
                <w:sz w:val="21"/>
                <w:szCs w:val="21"/>
                <w:shd w:val="clear" w:color="auto" w:fill="FFFFFF"/>
              </w:rPr>
              <w:t>om (64 bed) adult home which provides long-term residential care, room, board, housekeeping, personal care and supervision.</w:t>
            </w:r>
            <w:r w:rsidR="000E1521" w:rsidRPr="00DF7A5D">
              <w:rPr>
                <w:rFonts w:cs="Arial"/>
                <w:sz w:val="21"/>
                <w:szCs w:val="21"/>
                <w:shd w:val="clear" w:color="auto" w:fill="FFFFFF"/>
              </w:rPr>
              <w:t xml:space="preserve"> The project will entail </w:t>
            </w:r>
            <w:r w:rsidR="00DF7A5D" w:rsidRPr="00DF7A5D">
              <w:rPr>
                <w:rFonts w:cs="Arial"/>
                <w:sz w:val="21"/>
                <w:szCs w:val="21"/>
                <w:shd w:val="clear" w:color="auto" w:fill="FFFFFF"/>
              </w:rPr>
              <w:t>cosmetic improvements</w:t>
            </w:r>
            <w:r w:rsidR="000E1521" w:rsidRPr="00DF7A5D">
              <w:rPr>
                <w:rFonts w:cs="Arial"/>
                <w:sz w:val="21"/>
                <w:szCs w:val="21"/>
                <w:shd w:val="clear" w:color="auto" w:fill="FFFFFF"/>
              </w:rPr>
              <w:t xml:space="preserve"> and other facility updates, as needed.</w:t>
            </w:r>
          </w:p>
          <w:p w:rsidR="000E1521" w:rsidRPr="00DF7A5D" w:rsidRDefault="000E1521" w:rsidP="000E1521">
            <w:pPr>
              <w:shd w:val="clear" w:color="auto" w:fill="FFFFFF"/>
              <w:rPr>
                <w:rFonts w:cs="Arial"/>
                <w:sz w:val="21"/>
                <w:szCs w:val="21"/>
                <w:shd w:val="clear" w:color="auto" w:fill="FFFFFF"/>
              </w:rPr>
            </w:pPr>
          </w:p>
          <w:p w:rsidR="000E1521" w:rsidRPr="00DF7A5D" w:rsidRDefault="00DF60E4" w:rsidP="000E1521">
            <w:pPr>
              <w:shd w:val="clear" w:color="auto" w:fill="FFFFFF"/>
              <w:rPr>
                <w:rFonts w:cs="Arial"/>
                <w:sz w:val="21"/>
                <w:szCs w:val="21"/>
                <w:shd w:val="clear" w:color="auto" w:fill="FFFFFF"/>
              </w:rPr>
            </w:pPr>
            <w:r>
              <w:rPr>
                <w:rFonts w:cs="Arial"/>
                <w:sz w:val="21"/>
                <w:szCs w:val="21"/>
                <w:shd w:val="clear" w:color="auto" w:fill="FFFFFF"/>
              </w:rPr>
              <w:t>The C</w:t>
            </w:r>
            <w:r w:rsidR="000E1521" w:rsidRPr="00DF7A5D">
              <w:rPr>
                <w:rFonts w:cs="Arial"/>
                <w:sz w:val="21"/>
                <w:szCs w:val="21"/>
                <w:shd w:val="clear" w:color="auto" w:fill="FFFFFF"/>
              </w:rPr>
              <w:t>ompany is also under contract to purchase Heritage Manor Estates, which consists of twelve, single floor duplex senior apartments located adjacent to Heritage Manor.  Each apartment has two bedrooms, an attached garage and private laundry facilities, all configure</w:t>
            </w:r>
            <w:r w:rsidR="00C06D4F">
              <w:rPr>
                <w:rFonts w:cs="Arial"/>
                <w:sz w:val="21"/>
                <w:szCs w:val="21"/>
                <w:shd w:val="clear" w:color="auto" w:fill="FFFFFF"/>
              </w:rPr>
              <w:t>d</w:t>
            </w:r>
            <w:r w:rsidR="000E1521" w:rsidRPr="00DF7A5D">
              <w:rPr>
                <w:rFonts w:cs="Arial"/>
                <w:sz w:val="21"/>
                <w:szCs w:val="21"/>
                <w:shd w:val="clear" w:color="auto" w:fill="FFFFFF"/>
              </w:rPr>
              <w:t xml:space="preserve"> in an ADA accommodating layout.</w:t>
            </w:r>
            <w:r w:rsidR="00DF7A5D" w:rsidRPr="00DF7A5D">
              <w:rPr>
                <w:rFonts w:cs="Arial"/>
                <w:sz w:val="21"/>
                <w:szCs w:val="21"/>
                <w:shd w:val="clear" w:color="auto" w:fill="FFFFFF"/>
              </w:rPr>
              <w:t xml:space="preserve"> </w:t>
            </w:r>
          </w:p>
          <w:p w:rsidR="000E1521" w:rsidRPr="00DF7A5D" w:rsidRDefault="00DF60E4" w:rsidP="000E1521">
            <w:pPr>
              <w:shd w:val="clear" w:color="auto" w:fill="FFFFFF"/>
              <w:rPr>
                <w:rFonts w:cs="Arial"/>
                <w:sz w:val="21"/>
                <w:szCs w:val="21"/>
                <w:shd w:val="clear" w:color="auto" w:fill="FFFFFF"/>
              </w:rPr>
            </w:pPr>
            <w:r>
              <w:rPr>
                <w:rFonts w:cs="Arial"/>
                <w:sz w:val="21"/>
                <w:szCs w:val="21"/>
                <w:shd w:val="clear" w:color="auto" w:fill="FFFFFF"/>
              </w:rPr>
              <w:t>The C</w:t>
            </w:r>
            <w:r w:rsidR="000E1521" w:rsidRPr="00DF7A5D">
              <w:rPr>
                <w:rFonts w:cs="Arial"/>
                <w:sz w:val="21"/>
                <w:szCs w:val="21"/>
                <w:shd w:val="clear" w:color="auto" w:fill="FFFFFF"/>
              </w:rPr>
              <w:t xml:space="preserve">ompany plans to operate these facilities, together with Wheatfield Commons (which offers memory care units) as a senior housing community that can provide a continuum of care, </w:t>
            </w:r>
            <w:r w:rsidR="00C06D4F">
              <w:rPr>
                <w:rFonts w:cs="Arial"/>
                <w:sz w:val="21"/>
                <w:szCs w:val="21"/>
                <w:shd w:val="clear" w:color="auto" w:fill="FFFFFF"/>
              </w:rPr>
              <w:t>with</w:t>
            </w:r>
            <w:r w:rsidR="000E1521" w:rsidRPr="00DF7A5D">
              <w:rPr>
                <w:rFonts w:cs="Arial"/>
                <w:sz w:val="21"/>
                <w:szCs w:val="21"/>
                <w:shd w:val="clear" w:color="auto" w:fill="FFFFFF"/>
              </w:rPr>
              <w:t xml:space="preserve"> varying levels from senior independent living through assisted living and memory care.</w:t>
            </w:r>
          </w:p>
          <w:p w:rsidR="000E1521" w:rsidRPr="00DF7A5D" w:rsidRDefault="000E1521" w:rsidP="000E1521">
            <w:pPr>
              <w:shd w:val="clear" w:color="auto" w:fill="FFFFFF"/>
              <w:rPr>
                <w:rFonts w:cs="Arial"/>
                <w:sz w:val="21"/>
                <w:szCs w:val="21"/>
                <w:shd w:val="clear" w:color="auto" w:fill="FFFFFF"/>
              </w:rPr>
            </w:pPr>
          </w:p>
          <w:p w:rsidR="000E1521" w:rsidRPr="00DF7A5D" w:rsidRDefault="000E1521" w:rsidP="00DF60E4">
            <w:pPr>
              <w:shd w:val="clear" w:color="auto" w:fill="FFFFFF"/>
              <w:rPr>
                <w:rFonts w:cs="Arial"/>
                <w:sz w:val="21"/>
                <w:szCs w:val="21"/>
                <w:shd w:val="clear" w:color="auto" w:fill="FFFFFF"/>
              </w:rPr>
            </w:pPr>
            <w:r w:rsidRPr="00DF7A5D">
              <w:rPr>
                <w:rFonts w:cs="Arial"/>
                <w:sz w:val="21"/>
                <w:szCs w:val="21"/>
                <w:shd w:val="clear" w:color="auto" w:fill="FFFFFF"/>
              </w:rPr>
              <w:t xml:space="preserve">The applicant </w:t>
            </w:r>
            <w:r w:rsidR="00DF60E4">
              <w:rPr>
                <w:rFonts w:cs="Arial"/>
                <w:sz w:val="21"/>
                <w:szCs w:val="21"/>
                <w:shd w:val="clear" w:color="auto" w:fill="FFFFFF"/>
              </w:rPr>
              <w:t>has requested a deviated</w:t>
            </w:r>
            <w:r w:rsidRPr="00DF7A5D">
              <w:rPr>
                <w:rFonts w:cs="Arial"/>
                <w:sz w:val="21"/>
                <w:szCs w:val="21"/>
                <w:shd w:val="clear" w:color="auto" w:fill="FFFFFF"/>
              </w:rPr>
              <w:t xml:space="preserve"> PILOT agreement </w:t>
            </w:r>
            <w:r w:rsidR="00DF60E4">
              <w:rPr>
                <w:rFonts w:cs="Arial"/>
                <w:sz w:val="21"/>
                <w:szCs w:val="21"/>
                <w:shd w:val="clear" w:color="auto" w:fill="FFFFFF"/>
              </w:rPr>
              <w:t>with</w:t>
            </w:r>
            <w:r w:rsidRPr="00DF7A5D">
              <w:rPr>
                <w:rFonts w:cs="Arial"/>
                <w:sz w:val="21"/>
                <w:szCs w:val="21"/>
                <w:shd w:val="clear" w:color="auto" w:fill="FFFFFF"/>
              </w:rPr>
              <w:t xml:space="preserve"> the NCIDA </w:t>
            </w:r>
            <w:r w:rsidR="008D2E60">
              <w:rPr>
                <w:rFonts w:cs="Arial"/>
                <w:sz w:val="21"/>
                <w:szCs w:val="21"/>
                <w:shd w:val="clear" w:color="auto" w:fill="FFFFFF"/>
              </w:rPr>
              <w:t xml:space="preserve">with fixed annual payments </w:t>
            </w:r>
            <w:r w:rsidRPr="00DF7A5D">
              <w:rPr>
                <w:rFonts w:cs="Arial"/>
                <w:sz w:val="21"/>
                <w:szCs w:val="21"/>
                <w:shd w:val="clear" w:color="auto" w:fill="FFFFFF"/>
              </w:rPr>
              <w:t>in the amount of $10,000 for Heritage Manor, plu</w:t>
            </w:r>
            <w:r w:rsidR="00DF60E4">
              <w:rPr>
                <w:rFonts w:cs="Arial"/>
                <w:sz w:val="21"/>
                <w:szCs w:val="21"/>
                <w:shd w:val="clear" w:color="auto" w:fill="FFFFFF"/>
              </w:rPr>
              <w:t>s $70,000 for Heritage Estates. Annual payments would increase 2% annually.</w:t>
            </w:r>
            <w:r w:rsidRPr="00DF7A5D">
              <w:rPr>
                <w:rFonts w:cs="Arial"/>
                <w:sz w:val="21"/>
                <w:szCs w:val="21"/>
                <w:shd w:val="clear" w:color="auto" w:fill="FFFFFF"/>
              </w:rPr>
              <w:t xml:space="preserve"> The PILOT term would </w:t>
            </w:r>
            <w:r w:rsidR="00431E9D">
              <w:rPr>
                <w:rFonts w:cs="Arial"/>
                <w:sz w:val="21"/>
                <w:szCs w:val="21"/>
                <w:shd w:val="clear" w:color="auto" w:fill="FFFFFF"/>
              </w:rPr>
              <w:t>be 15</w:t>
            </w:r>
            <w:bookmarkStart w:id="0" w:name="_GoBack"/>
            <w:bookmarkEnd w:id="0"/>
            <w:r w:rsidR="00C06D4F">
              <w:rPr>
                <w:rFonts w:cs="Arial"/>
                <w:sz w:val="21"/>
                <w:szCs w:val="21"/>
                <w:shd w:val="clear" w:color="auto" w:fill="FFFFFF"/>
              </w:rPr>
              <w:t xml:space="preserve"> years</w:t>
            </w:r>
            <w:r w:rsidRPr="00DF7A5D">
              <w:rPr>
                <w:rFonts w:cs="Arial"/>
                <w:sz w:val="21"/>
                <w:szCs w:val="21"/>
                <w:shd w:val="clear" w:color="auto" w:fill="FFFFFF"/>
              </w:rPr>
              <w:t xml:space="preserve">.  </w:t>
            </w:r>
            <w:r w:rsidR="00DF60E4">
              <w:rPr>
                <w:rFonts w:cs="Arial"/>
                <w:sz w:val="21"/>
                <w:szCs w:val="21"/>
                <w:shd w:val="clear" w:color="auto" w:fill="FFFFFF"/>
              </w:rPr>
              <w:t>The project</w:t>
            </w:r>
            <w:r w:rsidRPr="00DF7A5D">
              <w:rPr>
                <w:rFonts w:cs="Arial"/>
                <w:sz w:val="21"/>
                <w:szCs w:val="21"/>
                <w:shd w:val="clear" w:color="auto" w:fill="FFFFFF"/>
              </w:rPr>
              <w:t xml:space="preserve"> will provide continued funding for essential emergency services and will continue to preserve the Heritage Manor and Estates as quality </w:t>
            </w:r>
            <w:r w:rsidR="00DF60E4">
              <w:rPr>
                <w:rFonts w:cs="Arial"/>
                <w:sz w:val="21"/>
                <w:szCs w:val="21"/>
                <w:shd w:val="clear" w:color="auto" w:fill="FFFFFF"/>
              </w:rPr>
              <w:t>facility</w:t>
            </w:r>
            <w:r w:rsidRPr="00DF7A5D">
              <w:rPr>
                <w:rFonts w:cs="Arial"/>
                <w:sz w:val="21"/>
                <w:szCs w:val="21"/>
                <w:shd w:val="clear" w:color="auto" w:fill="FFFFFF"/>
              </w:rPr>
              <w:t xml:space="preserve"> for seniors in the County</w:t>
            </w:r>
            <w:r w:rsidR="00C06D4F">
              <w:rPr>
                <w:rFonts w:cs="Arial"/>
                <w:sz w:val="21"/>
                <w:szCs w:val="21"/>
                <w:shd w:val="clear" w:color="auto" w:fill="FFFFFF"/>
              </w:rPr>
              <w:t>.</w:t>
            </w:r>
          </w:p>
        </w:tc>
      </w:tr>
      <w:tr w:rsidR="00706BD4" w:rsidRPr="00556737" w:rsidTr="004A6C0F">
        <w:tc>
          <w:tcPr>
            <w:tcW w:w="2178" w:type="dxa"/>
          </w:tcPr>
          <w:p w:rsidR="00706BD4" w:rsidRPr="00F87715" w:rsidRDefault="00706BD4" w:rsidP="004A6C0F">
            <w:pPr>
              <w:rPr>
                <w:b/>
                <w:sz w:val="24"/>
                <w:szCs w:val="24"/>
              </w:rPr>
            </w:pPr>
            <w:r w:rsidRPr="00F87715">
              <w:rPr>
                <w:b/>
                <w:sz w:val="24"/>
                <w:szCs w:val="24"/>
              </w:rPr>
              <w:t>Project Costs:</w:t>
            </w:r>
          </w:p>
        </w:tc>
        <w:tc>
          <w:tcPr>
            <w:tcW w:w="3960" w:type="dxa"/>
          </w:tcPr>
          <w:p w:rsidR="004C5E79" w:rsidRPr="00DF7A5D" w:rsidRDefault="00785D31" w:rsidP="004A6C0F">
            <w:pPr>
              <w:rPr>
                <w:sz w:val="21"/>
                <w:szCs w:val="21"/>
              </w:rPr>
            </w:pPr>
            <w:r w:rsidRPr="00DF7A5D">
              <w:rPr>
                <w:sz w:val="21"/>
                <w:szCs w:val="21"/>
              </w:rPr>
              <w:t xml:space="preserve">Property </w:t>
            </w:r>
            <w:r w:rsidR="00817525" w:rsidRPr="00DF7A5D">
              <w:rPr>
                <w:sz w:val="21"/>
                <w:szCs w:val="21"/>
              </w:rPr>
              <w:t>Acquisition</w:t>
            </w:r>
          </w:p>
          <w:p w:rsidR="002C62EF" w:rsidRPr="00DF7A5D" w:rsidRDefault="00F87715" w:rsidP="004A6C0F">
            <w:pPr>
              <w:rPr>
                <w:sz w:val="21"/>
                <w:szCs w:val="21"/>
              </w:rPr>
            </w:pPr>
            <w:r w:rsidRPr="00DF7A5D">
              <w:rPr>
                <w:sz w:val="21"/>
                <w:szCs w:val="21"/>
              </w:rPr>
              <w:t>Construction</w:t>
            </w:r>
            <w:r w:rsidR="003813AA" w:rsidRPr="00DF7A5D">
              <w:rPr>
                <w:sz w:val="21"/>
                <w:szCs w:val="21"/>
              </w:rPr>
              <w:t>/</w:t>
            </w:r>
            <w:r w:rsidR="00620E95" w:rsidRPr="00DF7A5D">
              <w:rPr>
                <w:sz w:val="21"/>
                <w:szCs w:val="21"/>
              </w:rPr>
              <w:t>Improvements</w:t>
            </w:r>
          </w:p>
          <w:p w:rsidR="00706BD4" w:rsidRPr="00DF7A5D" w:rsidRDefault="00706BD4" w:rsidP="004A6C0F">
            <w:pPr>
              <w:rPr>
                <w:sz w:val="21"/>
                <w:szCs w:val="21"/>
              </w:rPr>
            </w:pPr>
            <w:r w:rsidRPr="00DF7A5D">
              <w:rPr>
                <w:sz w:val="21"/>
                <w:szCs w:val="21"/>
              </w:rPr>
              <w:t xml:space="preserve">                                           TOTAL</w:t>
            </w:r>
          </w:p>
        </w:tc>
        <w:tc>
          <w:tcPr>
            <w:tcW w:w="3438" w:type="dxa"/>
          </w:tcPr>
          <w:p w:rsidR="00AD11DD" w:rsidRPr="00DF7A5D" w:rsidRDefault="00785D31" w:rsidP="004A6C0F">
            <w:pPr>
              <w:rPr>
                <w:sz w:val="21"/>
                <w:szCs w:val="21"/>
              </w:rPr>
            </w:pPr>
            <w:r w:rsidRPr="00DF7A5D">
              <w:rPr>
                <w:sz w:val="21"/>
                <w:szCs w:val="21"/>
              </w:rPr>
              <w:t xml:space="preserve">$ </w:t>
            </w:r>
            <w:r w:rsidR="00DF7A5D" w:rsidRPr="00DF7A5D">
              <w:rPr>
                <w:sz w:val="21"/>
                <w:szCs w:val="21"/>
              </w:rPr>
              <w:t xml:space="preserve"> 6,400,000</w:t>
            </w:r>
          </w:p>
          <w:p w:rsidR="00ED79DF" w:rsidRPr="006D520F" w:rsidRDefault="00ED79DF" w:rsidP="004A6C0F">
            <w:pPr>
              <w:rPr>
                <w:sz w:val="21"/>
                <w:szCs w:val="21"/>
                <w:u w:val="single"/>
              </w:rPr>
            </w:pPr>
            <w:r w:rsidRPr="006D520F">
              <w:rPr>
                <w:sz w:val="21"/>
                <w:szCs w:val="21"/>
                <w:u w:val="single"/>
              </w:rPr>
              <w:t>$</w:t>
            </w:r>
            <w:r w:rsidR="00A508E1" w:rsidRPr="006D520F">
              <w:rPr>
                <w:sz w:val="21"/>
                <w:szCs w:val="21"/>
                <w:u w:val="single"/>
              </w:rPr>
              <w:t xml:space="preserve"> </w:t>
            </w:r>
            <w:r w:rsidR="00DF7A5D" w:rsidRPr="006D520F">
              <w:rPr>
                <w:sz w:val="21"/>
                <w:szCs w:val="21"/>
                <w:u w:val="single"/>
              </w:rPr>
              <w:t xml:space="preserve">   </w:t>
            </w:r>
            <w:r w:rsidR="00212490" w:rsidRPr="006D520F">
              <w:rPr>
                <w:sz w:val="21"/>
                <w:szCs w:val="21"/>
                <w:u w:val="single"/>
              </w:rPr>
              <w:t xml:space="preserve"> </w:t>
            </w:r>
            <w:r w:rsidR="00DF7A5D" w:rsidRPr="006D520F">
              <w:rPr>
                <w:sz w:val="21"/>
                <w:szCs w:val="21"/>
                <w:u w:val="single"/>
              </w:rPr>
              <w:t>250,000</w:t>
            </w:r>
          </w:p>
          <w:p w:rsidR="00170544" w:rsidRPr="00DF7A5D" w:rsidRDefault="00641965" w:rsidP="00DF7A5D">
            <w:pPr>
              <w:rPr>
                <w:sz w:val="21"/>
                <w:szCs w:val="21"/>
              </w:rPr>
            </w:pPr>
            <w:r w:rsidRPr="00DF7A5D">
              <w:rPr>
                <w:sz w:val="21"/>
                <w:szCs w:val="21"/>
              </w:rPr>
              <w:t>$</w:t>
            </w:r>
            <w:r w:rsidR="00A508E1" w:rsidRPr="00DF7A5D">
              <w:rPr>
                <w:sz w:val="21"/>
                <w:szCs w:val="21"/>
              </w:rPr>
              <w:t xml:space="preserve"> </w:t>
            </w:r>
            <w:r w:rsidR="00DF7A5D" w:rsidRPr="00DF7A5D">
              <w:rPr>
                <w:sz w:val="21"/>
                <w:szCs w:val="21"/>
              </w:rPr>
              <w:t xml:space="preserve"> 6,650,000</w:t>
            </w:r>
          </w:p>
        </w:tc>
      </w:tr>
      <w:tr w:rsidR="0064739E" w:rsidRPr="00556737" w:rsidTr="004A6C0F">
        <w:tc>
          <w:tcPr>
            <w:tcW w:w="2178" w:type="dxa"/>
          </w:tcPr>
          <w:p w:rsidR="0064739E" w:rsidRPr="00F87715" w:rsidRDefault="0064739E" w:rsidP="004A6C0F">
            <w:pPr>
              <w:rPr>
                <w:b/>
                <w:sz w:val="24"/>
                <w:szCs w:val="24"/>
              </w:rPr>
            </w:pPr>
            <w:r w:rsidRPr="00F87715">
              <w:rPr>
                <w:b/>
                <w:sz w:val="24"/>
                <w:szCs w:val="24"/>
              </w:rPr>
              <w:t>Employment:</w:t>
            </w:r>
          </w:p>
          <w:p w:rsidR="0064739E" w:rsidRPr="00F87715" w:rsidRDefault="0064739E" w:rsidP="004A6C0F">
            <w:pPr>
              <w:rPr>
                <w:b/>
                <w:sz w:val="24"/>
                <w:szCs w:val="24"/>
              </w:rPr>
            </w:pPr>
          </w:p>
        </w:tc>
        <w:tc>
          <w:tcPr>
            <w:tcW w:w="7398" w:type="dxa"/>
            <w:gridSpan w:val="2"/>
          </w:tcPr>
          <w:p w:rsidR="003259E6" w:rsidRPr="00DF7A5D" w:rsidRDefault="008F4C4E" w:rsidP="004A6C0F">
            <w:pPr>
              <w:rPr>
                <w:sz w:val="21"/>
                <w:szCs w:val="21"/>
              </w:rPr>
            </w:pPr>
            <w:r w:rsidRPr="00DF7A5D">
              <w:rPr>
                <w:sz w:val="21"/>
                <w:szCs w:val="21"/>
              </w:rPr>
              <w:t>Current jobs in Niagara County</w:t>
            </w:r>
            <w:r w:rsidR="003259E6" w:rsidRPr="00DF7A5D">
              <w:rPr>
                <w:sz w:val="21"/>
                <w:szCs w:val="21"/>
              </w:rPr>
              <w:t xml:space="preserve">                   </w:t>
            </w:r>
            <w:r w:rsidR="00551FC8" w:rsidRPr="00DF7A5D">
              <w:rPr>
                <w:sz w:val="21"/>
                <w:szCs w:val="21"/>
              </w:rPr>
              <w:t xml:space="preserve">       </w:t>
            </w:r>
            <w:r w:rsidR="004F046E" w:rsidRPr="00DF7A5D">
              <w:rPr>
                <w:sz w:val="21"/>
                <w:szCs w:val="21"/>
              </w:rPr>
              <w:t xml:space="preserve"> </w:t>
            </w:r>
            <w:r w:rsidR="00551FC8" w:rsidRPr="00DF7A5D">
              <w:rPr>
                <w:sz w:val="21"/>
                <w:szCs w:val="21"/>
              </w:rPr>
              <w:t xml:space="preserve"> </w:t>
            </w:r>
            <w:r w:rsidR="004F046E" w:rsidRPr="00DF7A5D">
              <w:rPr>
                <w:sz w:val="21"/>
                <w:szCs w:val="21"/>
              </w:rPr>
              <w:t xml:space="preserve"> </w:t>
            </w:r>
            <w:r w:rsidR="001E4D57" w:rsidRPr="00DF7A5D">
              <w:rPr>
                <w:sz w:val="21"/>
                <w:szCs w:val="21"/>
              </w:rPr>
              <w:t xml:space="preserve"> </w:t>
            </w:r>
            <w:r w:rsidR="00DF7A5D" w:rsidRPr="00DF7A5D">
              <w:rPr>
                <w:sz w:val="21"/>
                <w:szCs w:val="21"/>
              </w:rPr>
              <w:t>20</w:t>
            </w:r>
          </w:p>
          <w:p w:rsidR="0064739E" w:rsidRPr="00DF7A5D" w:rsidRDefault="005629FB" w:rsidP="004A6C0F">
            <w:pPr>
              <w:rPr>
                <w:sz w:val="21"/>
                <w:szCs w:val="21"/>
              </w:rPr>
            </w:pPr>
            <w:r w:rsidRPr="00DF7A5D">
              <w:rPr>
                <w:sz w:val="21"/>
                <w:szCs w:val="21"/>
              </w:rPr>
              <w:t xml:space="preserve">New </w:t>
            </w:r>
            <w:r w:rsidR="00DE69C4" w:rsidRPr="00DF7A5D">
              <w:rPr>
                <w:sz w:val="21"/>
                <w:szCs w:val="21"/>
              </w:rPr>
              <w:t>Jobs</w:t>
            </w:r>
            <w:r w:rsidR="00011CEF" w:rsidRPr="00DF7A5D">
              <w:rPr>
                <w:sz w:val="21"/>
                <w:szCs w:val="21"/>
              </w:rPr>
              <w:t xml:space="preserve"> </w:t>
            </w:r>
            <w:r w:rsidR="008F4C4E" w:rsidRPr="00DF7A5D">
              <w:rPr>
                <w:sz w:val="21"/>
                <w:szCs w:val="21"/>
              </w:rPr>
              <w:t>in Niagara County within 3 years</w:t>
            </w:r>
            <w:r w:rsidR="00EA6BB3" w:rsidRPr="00DF7A5D">
              <w:rPr>
                <w:sz w:val="21"/>
                <w:szCs w:val="21"/>
              </w:rPr>
              <w:t>:</w:t>
            </w:r>
            <w:r w:rsidR="0064739E" w:rsidRPr="00DF7A5D">
              <w:rPr>
                <w:sz w:val="21"/>
                <w:szCs w:val="21"/>
              </w:rPr>
              <w:t xml:space="preserve"> </w:t>
            </w:r>
            <w:r w:rsidR="009333FB" w:rsidRPr="00DF7A5D">
              <w:rPr>
                <w:sz w:val="21"/>
                <w:szCs w:val="21"/>
              </w:rPr>
              <w:t xml:space="preserve">  </w:t>
            </w:r>
            <w:r w:rsidR="00A9463C" w:rsidRPr="00DF7A5D">
              <w:rPr>
                <w:sz w:val="21"/>
                <w:szCs w:val="21"/>
              </w:rPr>
              <w:t xml:space="preserve"> </w:t>
            </w:r>
            <w:r w:rsidR="00DF7A5D" w:rsidRPr="00DF7A5D">
              <w:rPr>
                <w:sz w:val="21"/>
                <w:szCs w:val="21"/>
              </w:rPr>
              <w:t xml:space="preserve">    </w:t>
            </w:r>
            <w:r w:rsidR="00011CEF" w:rsidRPr="00DF7A5D">
              <w:rPr>
                <w:sz w:val="21"/>
                <w:szCs w:val="21"/>
              </w:rPr>
              <w:t xml:space="preserve"> </w:t>
            </w:r>
            <w:r w:rsidR="00BB16D2" w:rsidRPr="00DF7A5D">
              <w:rPr>
                <w:sz w:val="21"/>
                <w:szCs w:val="21"/>
              </w:rPr>
              <w:t xml:space="preserve"> </w:t>
            </w:r>
            <w:r w:rsidR="00DF7A5D" w:rsidRPr="00DF7A5D">
              <w:rPr>
                <w:sz w:val="21"/>
                <w:szCs w:val="21"/>
              </w:rPr>
              <w:t>2</w:t>
            </w:r>
          </w:p>
          <w:p w:rsidR="00DF7A5D" w:rsidRPr="00DF7A5D" w:rsidRDefault="0064739E" w:rsidP="004A6C0F">
            <w:pPr>
              <w:rPr>
                <w:sz w:val="21"/>
                <w:szCs w:val="21"/>
              </w:rPr>
            </w:pPr>
            <w:r w:rsidRPr="00DF7A5D">
              <w:rPr>
                <w:sz w:val="21"/>
                <w:szCs w:val="21"/>
              </w:rPr>
              <w:t xml:space="preserve">Total </w:t>
            </w:r>
            <w:r w:rsidR="00DE69C4" w:rsidRPr="00DF7A5D">
              <w:rPr>
                <w:sz w:val="21"/>
                <w:szCs w:val="21"/>
              </w:rPr>
              <w:t xml:space="preserve">Annual </w:t>
            </w:r>
            <w:r w:rsidRPr="00DF7A5D">
              <w:rPr>
                <w:sz w:val="21"/>
                <w:szCs w:val="21"/>
              </w:rPr>
              <w:t>Payroll</w:t>
            </w:r>
            <w:r w:rsidR="00011CEF" w:rsidRPr="00DF7A5D">
              <w:rPr>
                <w:sz w:val="21"/>
                <w:szCs w:val="21"/>
              </w:rPr>
              <w:t xml:space="preserve"> End Year 3</w:t>
            </w:r>
            <w:r w:rsidRPr="00DF7A5D">
              <w:rPr>
                <w:sz w:val="21"/>
                <w:szCs w:val="21"/>
              </w:rPr>
              <w:t xml:space="preserve">:  </w:t>
            </w:r>
            <w:r w:rsidR="00011CEF" w:rsidRPr="00DF7A5D">
              <w:rPr>
                <w:sz w:val="21"/>
                <w:szCs w:val="21"/>
              </w:rPr>
              <w:t xml:space="preserve">   </w:t>
            </w:r>
            <w:r w:rsidR="00DC2393" w:rsidRPr="00DF7A5D">
              <w:rPr>
                <w:sz w:val="21"/>
                <w:szCs w:val="21"/>
              </w:rPr>
              <w:t xml:space="preserve">   </w:t>
            </w:r>
            <w:r w:rsidR="00A244C6" w:rsidRPr="00DF7A5D">
              <w:rPr>
                <w:sz w:val="21"/>
                <w:szCs w:val="21"/>
              </w:rPr>
              <w:t xml:space="preserve"> </w:t>
            </w:r>
            <w:r w:rsidR="00956CF0" w:rsidRPr="00DF7A5D">
              <w:rPr>
                <w:sz w:val="21"/>
                <w:szCs w:val="21"/>
              </w:rPr>
              <w:t xml:space="preserve"> </w:t>
            </w:r>
            <w:r w:rsidR="009F23F2" w:rsidRPr="00DF7A5D">
              <w:rPr>
                <w:sz w:val="21"/>
                <w:szCs w:val="21"/>
              </w:rPr>
              <w:t xml:space="preserve">  </w:t>
            </w:r>
            <w:r w:rsidR="00BF259F" w:rsidRPr="00DF7A5D">
              <w:rPr>
                <w:sz w:val="21"/>
                <w:szCs w:val="21"/>
              </w:rPr>
              <w:t xml:space="preserve">  </w:t>
            </w:r>
            <w:r w:rsidR="00A244C6" w:rsidRPr="00DF7A5D">
              <w:rPr>
                <w:sz w:val="21"/>
                <w:szCs w:val="21"/>
              </w:rPr>
              <w:t xml:space="preserve"> </w:t>
            </w:r>
            <w:r w:rsidR="00966453">
              <w:rPr>
                <w:sz w:val="21"/>
                <w:szCs w:val="21"/>
              </w:rPr>
              <w:t xml:space="preserve">   </w:t>
            </w:r>
            <w:r w:rsidRPr="00DF7A5D">
              <w:rPr>
                <w:sz w:val="21"/>
                <w:szCs w:val="21"/>
              </w:rPr>
              <w:t>$</w:t>
            </w:r>
            <w:r w:rsidR="00D33A6E">
              <w:rPr>
                <w:sz w:val="21"/>
                <w:szCs w:val="21"/>
              </w:rPr>
              <w:t>732,576</w:t>
            </w:r>
          </w:p>
          <w:p w:rsidR="00BB16D2" w:rsidRPr="00DF7A5D" w:rsidRDefault="0064739E" w:rsidP="00DF7A5D">
            <w:pPr>
              <w:rPr>
                <w:sz w:val="21"/>
                <w:szCs w:val="21"/>
              </w:rPr>
            </w:pPr>
            <w:r w:rsidRPr="00DF7A5D">
              <w:rPr>
                <w:sz w:val="21"/>
                <w:szCs w:val="21"/>
              </w:rPr>
              <w:t xml:space="preserve">Skills:  </w:t>
            </w:r>
            <w:r w:rsidR="001050DC" w:rsidRPr="00DF7A5D">
              <w:rPr>
                <w:sz w:val="21"/>
                <w:szCs w:val="21"/>
              </w:rPr>
              <w:t>Administrative,</w:t>
            </w:r>
            <w:r w:rsidR="004F046E" w:rsidRPr="00DF7A5D">
              <w:rPr>
                <w:sz w:val="21"/>
                <w:szCs w:val="21"/>
              </w:rPr>
              <w:t xml:space="preserve"> </w:t>
            </w:r>
            <w:r w:rsidR="00BB16D2" w:rsidRPr="00DF7A5D">
              <w:rPr>
                <w:sz w:val="21"/>
                <w:szCs w:val="21"/>
              </w:rPr>
              <w:t>P</w:t>
            </w:r>
            <w:r w:rsidR="00DF7A5D" w:rsidRPr="00DF7A5D">
              <w:rPr>
                <w:sz w:val="21"/>
                <w:szCs w:val="21"/>
              </w:rPr>
              <w:t>ersonal Care, Housekeeping, Maintenance</w:t>
            </w:r>
          </w:p>
        </w:tc>
      </w:tr>
      <w:tr w:rsidR="00A2040A" w:rsidRPr="00556737" w:rsidTr="004A6C0F">
        <w:tc>
          <w:tcPr>
            <w:tcW w:w="2178" w:type="dxa"/>
          </w:tcPr>
          <w:p w:rsidR="00A2040A" w:rsidRPr="00A2040A" w:rsidRDefault="00A2040A" w:rsidP="004A6C0F">
            <w:pPr>
              <w:rPr>
                <w:b/>
                <w:sz w:val="24"/>
                <w:szCs w:val="24"/>
              </w:rPr>
            </w:pPr>
            <w:r w:rsidRPr="00A2040A">
              <w:rPr>
                <w:b/>
                <w:sz w:val="24"/>
                <w:szCs w:val="24"/>
              </w:rPr>
              <w:t>Evaluative Criteria:</w:t>
            </w:r>
          </w:p>
        </w:tc>
        <w:tc>
          <w:tcPr>
            <w:tcW w:w="7398" w:type="dxa"/>
            <w:gridSpan w:val="2"/>
          </w:tcPr>
          <w:p w:rsidR="00A2040A" w:rsidRPr="00DF7A5D" w:rsidRDefault="00FF18B3" w:rsidP="00DF7A5D">
            <w:pPr>
              <w:rPr>
                <w:sz w:val="21"/>
                <w:szCs w:val="21"/>
              </w:rPr>
            </w:pPr>
            <w:r w:rsidRPr="00DF7A5D">
              <w:rPr>
                <w:sz w:val="21"/>
                <w:szCs w:val="21"/>
              </w:rPr>
              <w:t>Age of Structure, Redevelopment Supports or aligns with Regional or Local Development Plans, Regional Wealth Creation</w:t>
            </w:r>
          </w:p>
        </w:tc>
      </w:tr>
    </w:tbl>
    <w:p w:rsidR="00556737" w:rsidRDefault="004A6C0F" w:rsidP="00556737">
      <w:pPr>
        <w:rPr>
          <w:b/>
          <w:sz w:val="24"/>
          <w:szCs w:val="24"/>
        </w:rPr>
      </w:pPr>
      <w:r>
        <w:rPr>
          <w:b/>
          <w:sz w:val="24"/>
          <w:szCs w:val="24"/>
        </w:rPr>
        <w:br w:type="textWrapping" w:clear="all"/>
      </w:r>
    </w:p>
    <w:p w:rsidR="00DF7A5D" w:rsidRDefault="00DF7A5D" w:rsidP="00AE30D2">
      <w:pPr>
        <w:jc w:val="center"/>
        <w:rPr>
          <w:b/>
          <w:sz w:val="24"/>
          <w:szCs w:val="24"/>
        </w:rPr>
      </w:pPr>
    </w:p>
    <w:p w:rsidR="00DF7A5D" w:rsidRDefault="00DF7A5D" w:rsidP="00AE30D2">
      <w:pPr>
        <w:jc w:val="center"/>
        <w:rPr>
          <w:b/>
          <w:sz w:val="24"/>
          <w:szCs w:val="24"/>
        </w:rPr>
      </w:pPr>
    </w:p>
    <w:p w:rsidR="00AE30D2" w:rsidRDefault="00DF7A5D" w:rsidP="00AE30D2">
      <w:pPr>
        <w:jc w:val="center"/>
        <w:rPr>
          <w:b/>
          <w:sz w:val="24"/>
          <w:szCs w:val="24"/>
        </w:rPr>
      </w:pPr>
      <w:r>
        <w:rPr>
          <w:b/>
          <w:sz w:val="24"/>
          <w:szCs w:val="24"/>
        </w:rPr>
        <w:lastRenderedPageBreak/>
        <w:t>R</w:t>
      </w:r>
      <w:r w:rsidR="00AE30D2">
        <w:rPr>
          <w:b/>
          <w:sz w:val="24"/>
          <w:szCs w:val="24"/>
        </w:rPr>
        <w:t>EGIONAL ECONOMIC IMPACT ANALYSIS</w:t>
      </w:r>
    </w:p>
    <w:p w:rsidR="00F87E3A" w:rsidRDefault="00AE5AA3" w:rsidP="00AE30D2">
      <w:pPr>
        <w:jc w:val="center"/>
        <w:rPr>
          <w:b/>
          <w:sz w:val="24"/>
          <w:szCs w:val="24"/>
        </w:rPr>
      </w:pPr>
      <w:r>
        <w:rPr>
          <w:b/>
          <w:sz w:val="24"/>
          <w:szCs w:val="24"/>
        </w:rPr>
        <w:t>Vincent Properties, Inc.</w:t>
      </w:r>
    </w:p>
    <w:p w:rsidR="00BF2687" w:rsidRDefault="00BF2687" w:rsidP="00AE30D2">
      <w:pPr>
        <w:jc w:val="center"/>
        <w:rPr>
          <w:b/>
          <w:sz w:val="24"/>
          <w:szCs w:val="24"/>
        </w:rPr>
      </w:pPr>
    </w:p>
    <w:p w:rsidR="00AE30D2" w:rsidRDefault="004A6C0F" w:rsidP="00AE30D2">
      <w:pPr>
        <w:spacing w:beforeAutospacing="1" w:after="150"/>
        <w:outlineLvl w:val="1"/>
        <w:rPr>
          <w:rFonts w:ascii="Tahoma" w:eastAsia="Times New Roman" w:hAnsi="Tahoma" w:cs="Tahoma"/>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-251460</wp:posOffset>
                </wp:positionH>
                <wp:positionV relativeFrom="paragraph">
                  <wp:posOffset>151765</wp:posOffset>
                </wp:positionV>
                <wp:extent cx="6638925" cy="2183765"/>
                <wp:effectExtent l="19050" t="26670" r="19050" b="2794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183765"/>
                        </a:xfrm>
                        <a:prstGeom prst="rect">
                          <a:avLst/>
                        </a:prstGeom>
                        <a:solidFill>
                          <a:srgbClr val="FFFFFF"/>
                        </a:solidFill>
                        <a:ln w="38100" cmpd="dbl">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ED42" id="Rectangle 17" o:spid="_x0000_s1026" style="position:absolute;margin-left:-19.8pt;margin-top:11.95pt;width:522.75pt;height:17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kiLwIAAEoEAAAOAAAAZHJzL2Uyb0RvYy54bWysVNuO0zAQfUfiHyy/0zS9ZqOmq6WlCGmB&#10;FQsf4DpOY+EbY7dp9+sZO93SBZ4QebBmPOPjM2fGWdwetSIHAV5aU9F8MKREGG5raXYV/fZ186ag&#10;xAdmaqasERU9CU9vl69fLTpXipFtraoFEAQxvuxcRdsQXJllnrdCMz+wThgMNhY0C+jCLquBdYiu&#10;VTYaDmdZZ6F2YLnwHnfXfZAuE37TCB4+N40XgaiKIreQVkjrNq7ZcsHKHTDXSn6mwf6BhWbS4KUX&#10;qDULjOxB/gGlJQfrbRMG3OrMNo3kItWA1eTD36p5bJkTqRYUx7uLTP7/wfJPhwcgsq7olBLDNLbo&#10;C4rGzE4Jks+jPp3zJaY9ugeIFXp3b/l3T4xdtZgm7gBs1wpWI6s85mcvDkTH41Gy7T7aGuHZPtgk&#10;1bEBHQFRBHJMHTldOiKOgXDcnM3Gxc0IqXGMjfJiPJ9N0x2sfD7uwIf3wmoSjYoCsk/w7HDvQ6TD&#10;yueURN8qWW+kUsmB3XalgBwYjscmfWd0f52mDOkqOi7yIY4Q1w7Vqrcq3fIiz1/DTTZF/nb9Nzgt&#10;A868krqixTB+MYmVUcN3pk52YFL1NtJX5ixq1LHvx9bWJ9QUbD/Q+ADRaC08UdLhMFfU/9gzEJSo&#10;Dwb7cpNPJnH6kzOZzkfowHVkex1hhiNURQMlvbkK/YvZO5C7Fm/KU+3G3mEvG5lUjn3uWZ3J4sAm&#10;8c+PK76Iaz9l/foFLH8CAAD//wMAUEsDBBQABgAIAAAAIQA1a+Ai4AAAAAsBAAAPAAAAZHJzL2Rv&#10;d25yZXYueG1sTI/BTsMwDIbvSLxDZCQuaEto1bGVuhMa4sKNbUjjljWmrWicqsm68vZkp3Gz5U+/&#10;v79YT7YTIw2+dYzwOFcgiCtnWq4R9ru32RKED5qN7hwTwi95WJe3N4XOjTvzB43bUIsYwj7XCE0I&#10;fS6lrxqy2s9dTxxv326wOsR1qKUZ9DmG204mSi2k1S3HD43uadNQ9bM9WQTTv349fO5M9p4cSI1h&#10;z4dNliLe300vzyACTeEKw0U/qkMZnY7uxMaLDmGWrhYRRUjSFYgLoFQWpyNCunhagiwL+b9D+QcA&#10;AP//AwBQSwECLQAUAAYACAAAACEAtoM4kv4AAADhAQAAEwAAAAAAAAAAAAAAAAAAAAAAW0NvbnRl&#10;bnRfVHlwZXNdLnhtbFBLAQItABQABgAIAAAAIQA4/SH/1gAAAJQBAAALAAAAAAAAAAAAAAAAAC8B&#10;AABfcmVscy8ucmVsc1BLAQItABQABgAIAAAAIQDcF2kiLwIAAEoEAAAOAAAAAAAAAAAAAAAAAC4C&#10;AABkcnMvZTJvRG9jLnhtbFBLAQItABQABgAIAAAAIQA1a+Ai4AAAAAsBAAAPAAAAAAAAAAAAAAAA&#10;AIkEAABkcnMvZG93bnJldi54bWxQSwUGAAAAAAQABADzAAAAlgUAAAAA&#10;" strokecolor="#4f81bd" strokeweight="3pt">
                <v:stroke linestyle="thinThin"/>
              </v:rect>
            </w:pict>
          </mc:Fallback>
        </mc:AlternateConten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43"/>
        <w:gridCol w:w="54"/>
        <w:gridCol w:w="54"/>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58"/>
              <w:gridCol w:w="1001"/>
              <w:gridCol w:w="1752"/>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FD7726">
                  <w:pPr>
                    <w:rPr>
                      <w:rFonts w:ascii="Tahoma" w:eastAsia="Times New Roman" w:hAnsi="Tahoma" w:cs="Tahoma"/>
                      <w:sz w:val="20"/>
                      <w:szCs w:val="20"/>
                    </w:rPr>
                  </w:pPr>
                  <w:r>
                    <w:rPr>
                      <w:rFonts w:ascii="Tahoma" w:eastAsia="Times New Roman" w:hAnsi="Tahoma" w:cs="Tahoma"/>
                      <w:b/>
                      <w:bCs/>
                      <w:sz w:val="20"/>
                      <w:szCs w:val="20"/>
                    </w:rPr>
                    <w:t>$</w:t>
                  </w:r>
                  <w:r w:rsidR="008A05A2">
                    <w:rPr>
                      <w:rFonts w:ascii="Tahoma" w:hAnsi="Tahoma" w:cs="Tahoma"/>
                      <w:b/>
                      <w:bCs/>
                      <w:sz w:val="20"/>
                      <w:szCs w:val="20"/>
                    </w:rPr>
                    <w:t>2,381,468</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E732C9">
                  <w:pPr>
                    <w:rPr>
                      <w:rFonts w:ascii="Tahoma" w:eastAsia="Times New Roman" w:hAnsi="Tahoma" w:cs="Tahoma"/>
                      <w:sz w:val="20"/>
                      <w:szCs w:val="20"/>
                    </w:rPr>
                  </w:pPr>
                  <w:r>
                    <w:rPr>
                      <w:rFonts w:ascii="Tahoma" w:eastAsia="Times New Roman" w:hAnsi="Tahoma" w:cs="Tahoma"/>
                      <w:b/>
                      <w:bCs/>
                      <w:sz w:val="20"/>
                      <w:szCs w:val="20"/>
                    </w:rPr>
                    <w:t>$</w:t>
                  </w:r>
                  <w:r w:rsidR="008C51CF">
                    <w:rPr>
                      <w:rFonts w:ascii="Tahoma" w:eastAsia="Times New Roman" w:hAnsi="Tahoma" w:cs="Tahoma"/>
                      <w:b/>
                      <w:bCs/>
                      <w:sz w:val="20"/>
                      <w:szCs w:val="20"/>
                    </w:rPr>
                    <w:t xml:space="preserve">   </w:t>
                  </w:r>
                  <w:r w:rsidR="007552E5">
                    <w:rPr>
                      <w:rFonts w:ascii="Tahoma" w:eastAsia="Times New Roman" w:hAnsi="Tahoma" w:cs="Tahoma"/>
                      <w:b/>
                      <w:bCs/>
                      <w:sz w:val="20"/>
                      <w:szCs w:val="20"/>
                    </w:rPr>
                    <w:t>732,248</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F85F2E" w:rsidP="00431E9D">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8C51CF">
                    <w:rPr>
                      <w:rFonts w:ascii="Tahoma" w:eastAsia="Times New Roman" w:hAnsi="Tahoma" w:cs="Tahoma"/>
                      <w:b/>
                      <w:sz w:val="20"/>
                      <w:szCs w:val="20"/>
                    </w:rPr>
                    <w:t>3.</w:t>
                  </w:r>
                  <w:r w:rsidR="00431E9D">
                    <w:rPr>
                      <w:rFonts w:ascii="Tahoma" w:eastAsia="Times New Roman" w:hAnsi="Tahoma" w:cs="Tahoma"/>
                      <w:b/>
                      <w:sz w:val="20"/>
                      <w:szCs w:val="20"/>
                    </w:rPr>
                    <w:t>25</w:t>
                  </w:r>
                  <w:r w:rsidR="00E732C9">
                    <w:rPr>
                      <w:rFonts w:ascii="Tahoma" w:eastAsia="Times New Roman" w:hAnsi="Tahoma" w:cs="Tahoma"/>
                      <w:b/>
                      <w:sz w:val="20"/>
                      <w:szCs w:val="20"/>
                    </w:rPr>
                    <w:t>:</w:t>
                  </w:r>
                  <w:r w:rsidR="00551FC8">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E732C9">
              <w:trPr>
                <w:trHeight w:val="179"/>
                <w:tblCellSpacing w:w="0" w:type="dxa"/>
              </w:trPr>
              <w:tc>
                <w:tcPr>
                  <w:tcW w:w="0" w:type="auto"/>
                  <w:tcMar>
                    <w:top w:w="15" w:type="dxa"/>
                    <w:left w:w="15" w:type="dxa"/>
                    <w:bottom w:w="15" w:type="dxa"/>
                    <w:right w:w="15" w:type="dxa"/>
                  </w:tcMar>
                  <w:vAlign w:val="center"/>
                  <w:hideMark/>
                </w:tcPr>
                <w:p w:rsidR="003D463F" w:rsidRPr="003D463F" w:rsidRDefault="003D463F">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3D463F" w:rsidRDefault="00CB2B1E" w:rsidP="00864884">
                  <w:pPr>
                    <w:rPr>
                      <w:rFonts w:ascii="Tahoma" w:eastAsia="Times New Roman" w:hAnsi="Tahoma" w:cs="Tahoma"/>
                      <w:sz w:val="20"/>
                      <w:szCs w:val="20"/>
                    </w:rPr>
                  </w:pP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ED0115">
                    <w:rPr>
                      <w:rFonts w:ascii="Tahoma" w:eastAsia="Times New Roman" w:hAnsi="Tahoma" w:cs="Tahoma"/>
                      <w:b/>
                      <w:bCs/>
                      <w:sz w:val="20"/>
                      <w:szCs w:val="20"/>
                    </w:rPr>
                    <w:t xml:space="preserve">   37</w:t>
                  </w:r>
                </w:p>
              </w:tc>
              <w:tc>
                <w:tcPr>
                  <w:tcW w:w="884" w:type="pct"/>
                  <w:tcMar>
                    <w:top w:w="15" w:type="dxa"/>
                    <w:left w:w="15" w:type="dxa"/>
                    <w:bottom w:w="15" w:type="dxa"/>
                    <w:right w:w="15" w:type="dxa"/>
                  </w:tcMar>
                  <w:vAlign w:val="center"/>
                  <w:hideMark/>
                </w:tcPr>
                <w:p w:rsidR="003D463F" w:rsidRDefault="00ED0115" w:rsidP="00864884">
                  <w:pPr>
                    <w:rPr>
                      <w:rFonts w:ascii="Tahoma" w:eastAsia="Times New Roman" w:hAnsi="Tahoma" w:cs="Tahoma"/>
                      <w:sz w:val="20"/>
                      <w:szCs w:val="20"/>
                    </w:rPr>
                  </w:pPr>
                  <w:r>
                    <w:rPr>
                      <w:rFonts w:ascii="Tahoma" w:eastAsia="Times New Roman" w:hAnsi="Tahoma" w:cs="Tahoma"/>
                      <w:b/>
                      <w:bCs/>
                      <w:sz w:val="20"/>
                      <w:szCs w:val="20"/>
                    </w:rPr>
                    <w:t xml:space="preserve">       37</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ED0115">
                  <w:pPr>
                    <w:rPr>
                      <w:rFonts w:ascii="Tahoma" w:eastAsia="Times New Roman" w:hAnsi="Tahoma" w:cs="Tahoma"/>
                      <w:sz w:val="20"/>
                      <w:szCs w:val="20"/>
                    </w:rPr>
                  </w:pPr>
                  <w:r>
                    <w:rPr>
                      <w:rFonts w:ascii="Tahoma" w:eastAsia="Times New Roman" w:hAnsi="Tahoma" w:cs="Tahoma"/>
                      <w:sz w:val="20"/>
                      <w:szCs w:val="20"/>
                    </w:rPr>
                    <w:t xml:space="preserve">   </w:t>
                  </w:r>
                  <w:r w:rsidR="00ED0115">
                    <w:rPr>
                      <w:rFonts w:ascii="Tahoma" w:eastAsia="Times New Roman" w:hAnsi="Tahoma" w:cs="Tahoma"/>
                      <w:sz w:val="20"/>
                      <w:szCs w:val="20"/>
                    </w:rPr>
                    <w:t xml:space="preserve">  22</w:t>
                  </w:r>
                </w:p>
              </w:tc>
              <w:tc>
                <w:tcPr>
                  <w:tcW w:w="884" w:type="pct"/>
                  <w:tcMar>
                    <w:top w:w="15" w:type="dxa"/>
                    <w:left w:w="15" w:type="dxa"/>
                    <w:bottom w:w="15" w:type="dxa"/>
                    <w:right w:w="15" w:type="dxa"/>
                  </w:tcMar>
                  <w:vAlign w:val="center"/>
                  <w:hideMark/>
                </w:tcPr>
                <w:p w:rsidR="003D463F" w:rsidRDefault="003D463F" w:rsidP="00ED0115">
                  <w:pPr>
                    <w:rPr>
                      <w:rFonts w:ascii="Tahoma" w:eastAsia="Times New Roman" w:hAnsi="Tahoma" w:cs="Tahoma"/>
                      <w:sz w:val="20"/>
                      <w:szCs w:val="20"/>
                    </w:rPr>
                  </w:pPr>
                  <w:r>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Pr>
                      <w:rFonts w:ascii="Tahoma" w:eastAsia="Times New Roman" w:hAnsi="Tahoma" w:cs="Tahoma"/>
                      <w:sz w:val="20"/>
                      <w:szCs w:val="20"/>
                    </w:rPr>
                    <w:t xml:space="preserve">   </w:t>
                  </w:r>
                  <w:r w:rsidR="00ED0115">
                    <w:rPr>
                      <w:rFonts w:ascii="Tahoma" w:eastAsia="Times New Roman" w:hAnsi="Tahoma" w:cs="Tahoma"/>
                      <w:sz w:val="20"/>
                      <w:szCs w:val="20"/>
                    </w:rPr>
                    <w:t xml:space="preserve">  22</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864884">
                  <w:pPr>
                    <w:rPr>
                      <w:rFonts w:ascii="Tahoma" w:eastAsia="Times New Roman" w:hAnsi="Tahoma" w:cs="Tahoma"/>
                      <w:sz w:val="20"/>
                      <w:szCs w:val="20"/>
                    </w:rPr>
                  </w:pPr>
                  <w:r>
                    <w:rPr>
                      <w:rFonts w:ascii="Tahoma" w:eastAsia="Times New Roman" w:hAnsi="Tahoma" w:cs="Tahoma"/>
                      <w:sz w:val="20"/>
                      <w:szCs w:val="20"/>
                    </w:rPr>
                    <w:t xml:space="preserve"> </w:t>
                  </w:r>
                  <w:r w:rsidR="00ED0115">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ED0115">
                    <w:rPr>
                      <w:rFonts w:ascii="Tahoma" w:eastAsia="Times New Roman" w:hAnsi="Tahoma" w:cs="Tahoma"/>
                      <w:sz w:val="20"/>
                      <w:szCs w:val="20"/>
                    </w:rPr>
                    <w:t>12</w:t>
                  </w:r>
                </w:p>
              </w:tc>
              <w:tc>
                <w:tcPr>
                  <w:tcW w:w="884" w:type="pct"/>
                  <w:tcMar>
                    <w:top w:w="15" w:type="dxa"/>
                    <w:left w:w="15" w:type="dxa"/>
                    <w:bottom w:w="15" w:type="dxa"/>
                    <w:right w:w="15" w:type="dxa"/>
                  </w:tcMar>
                  <w:vAlign w:val="center"/>
                  <w:hideMark/>
                </w:tcPr>
                <w:p w:rsidR="003D463F" w:rsidRDefault="00864884" w:rsidP="00864884">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3D463F">
                    <w:rPr>
                      <w:rFonts w:ascii="Tahoma" w:eastAsia="Times New Roman" w:hAnsi="Tahoma" w:cs="Tahoma"/>
                      <w:sz w:val="20"/>
                      <w:szCs w:val="20"/>
                    </w:rPr>
                    <w:t xml:space="preserve"> </w:t>
                  </w:r>
                  <w:r w:rsidR="00ED0115">
                    <w:rPr>
                      <w:rFonts w:ascii="Tahoma" w:eastAsia="Times New Roman" w:hAnsi="Tahoma" w:cs="Tahoma"/>
                      <w:sz w:val="20"/>
                      <w:szCs w:val="20"/>
                    </w:rPr>
                    <w:t xml:space="preserve">  12</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3D463F" w:rsidRDefault="00E21F4C" w:rsidP="00864884">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ED0115">
                    <w:rPr>
                      <w:rFonts w:ascii="Tahoma" w:eastAsia="Times New Roman" w:hAnsi="Tahoma" w:cs="Tahoma"/>
                      <w:sz w:val="20"/>
                      <w:szCs w:val="20"/>
                    </w:rPr>
                    <w:t xml:space="preserve">    3</w:t>
                  </w:r>
                </w:p>
              </w:tc>
              <w:tc>
                <w:tcPr>
                  <w:tcW w:w="884" w:type="pct"/>
                  <w:tcMar>
                    <w:top w:w="15" w:type="dxa"/>
                    <w:left w:w="15" w:type="dxa"/>
                    <w:bottom w:w="15" w:type="dxa"/>
                    <w:right w:w="15" w:type="dxa"/>
                  </w:tcMar>
                  <w:vAlign w:val="center"/>
                  <w:hideMark/>
                </w:tcPr>
                <w:p w:rsidR="003D463F" w:rsidRDefault="003D463F" w:rsidP="00864884">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sidR="00E732C9">
                    <w:rPr>
                      <w:rFonts w:ascii="Tahoma" w:eastAsia="Times New Roman" w:hAnsi="Tahoma" w:cs="Tahoma"/>
                      <w:sz w:val="20"/>
                      <w:szCs w:val="20"/>
                    </w:rPr>
                    <w:t xml:space="preserve"> </w:t>
                  </w:r>
                  <w:r w:rsidR="00ED0115">
                    <w:rPr>
                      <w:rFonts w:ascii="Tahoma" w:eastAsia="Times New Roman" w:hAnsi="Tahoma" w:cs="Tahoma"/>
                      <w:sz w:val="20"/>
                      <w:szCs w:val="20"/>
                    </w:rPr>
                    <w:t xml:space="preserve">  3</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4A6C0F" w:rsidP="00AE30D2">
      <w:pPr>
        <w:spacing w:beforeAutospacing="1" w:after="150"/>
        <w:outlineLvl w:val="1"/>
        <w:rPr>
          <w:rFonts w:ascii="Tahoma" w:eastAsia="Times New Roman" w:hAnsi="Tahoma" w:cs="Tahoma"/>
          <w:sz w:val="24"/>
          <w:szCs w:val="24"/>
        </w:rPr>
      </w:pPr>
      <w:r>
        <w:rPr>
          <w:noProof/>
        </w:rPr>
        <mc:AlternateContent>
          <mc:Choice Requires="wps">
            <w:drawing>
              <wp:anchor distT="0" distB="0" distL="114300" distR="114300" simplePos="0" relativeHeight="251656704" behindDoc="1" locked="0" layoutInCell="1" allowOverlap="1">
                <wp:simplePos x="0" y="0"/>
                <wp:positionH relativeFrom="column">
                  <wp:posOffset>-251460</wp:posOffset>
                </wp:positionH>
                <wp:positionV relativeFrom="paragraph">
                  <wp:posOffset>0</wp:posOffset>
                </wp:positionV>
                <wp:extent cx="6638925" cy="1375410"/>
                <wp:effectExtent l="19050" t="26670" r="1905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375410"/>
                        </a:xfrm>
                        <a:prstGeom prst="rect">
                          <a:avLst/>
                        </a:prstGeom>
                        <a:solidFill>
                          <a:srgbClr val="FFFFFF"/>
                        </a:solidFill>
                        <a:ln w="38100" cmpd="dbl">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ACBB" id="Rectangle 16" o:spid="_x0000_s1026" style="position:absolute;margin-left:-19.8pt;margin-top:0;width:522.75pt;height:10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koMgIAAEoEAAAOAAAAZHJzL2Uyb0RvYy54bWysVNuO0zAQfUfiHyy/0yRt2u1GTVdLSxHS&#10;AisWPsB1nMbCN8Zu092vZ+x0Sxd4QuTBmvGMj8+cGWdxc9SKHAR4aU1Ni1FOiTDcNtLsavrt6+bN&#10;nBIfmGmYskbU9FF4erN8/WrRu0qMbWdVI4AgiPFV72raheCqLPO8E5r5kXXCYLC1oFlAF3ZZA6xH&#10;dK2ycZ7Pst5C48By4T3urocgXSb8thU8fG5bLwJRNUVuIa2Q1m1cs+WCVTtgrpP8RIP9AwvNpMFL&#10;z1BrFhjZg/wDSksO1ts2jLjVmW1byUWqAasp8t+qeeiYE6kWFMe7s0z+/8HyT4d7ILKpaUmJYRpb&#10;9AVFY2anBClmUZ/e+QrTHtw9xAq9u7P8uyfGrjpME7cAtu8Ea5BVEfOzFwei4/Eo2fYfbYPwbB9s&#10;kurYgo6AKAI5po48njsijoFw3JzNJvPr8ZQSjrFicjUti9SzjFXPxx348F5YTaJRU0D2CZ4d7nyI&#10;dFj1nJLoWyWbjVQqObDbrhSQA8Px2KQvVYBVXqYpQ/qaTuZFjiPEtUO1mq1Kt7zI85dw5WZevF3/&#10;DU7LgDOvpK7pPI9fTGJV1PCdaZIdmFSDjfSVOYkadRz6sbXNI2oKdhhofIBodBaeKOlxmGvqf+wZ&#10;CErUB4N9uS7KMk5/csrp1RgduIxsLyPMcISqaaBkMFdheDF7B3LX4U1Fqt3YW+xlK5PKsc8DqxNZ&#10;HNgk/ulxxRdx6aesX7+A5U8AAAD//wMAUEsDBBQABgAIAAAAIQAn9usD3gAAAAkBAAAPAAAAZHJz&#10;L2Rvd25yZXYueG1sTI/BTsMwEETvSPyDtUhcUGs3VSKaZlOhIi7caItUbm68TSLidRS7afh73BMc&#10;RzOaeVNsJtuJkQbfOkZYzBUI4sqZlmuEw/5t9gzCB81Gd44J4Yc8bMr7u0Lnxl35g8ZdqEUsYZ9r&#10;hCaEPpfSVw1Z7eeuJ47e2Q1WhyiHWppBX2O57WSiVCatbjkuNLqnbUPV9+5iEUz/+vX0uTfpe3Ik&#10;NYYDH7fpEvHxYXpZgwg0hb8w3PAjOpSR6eQubLzoEGbLVRajCPHRzVYqXYE4ISSLLANZFvL/g/IX&#10;AAD//wMAUEsBAi0AFAAGAAgAAAAhALaDOJL+AAAA4QEAABMAAAAAAAAAAAAAAAAAAAAAAFtDb250&#10;ZW50X1R5cGVzXS54bWxQSwECLQAUAAYACAAAACEAOP0h/9YAAACUAQAACwAAAAAAAAAAAAAAAAAv&#10;AQAAX3JlbHMvLnJlbHNQSwECLQAUAAYACAAAACEAW3q5KDICAABKBAAADgAAAAAAAAAAAAAAAAAu&#10;AgAAZHJzL2Uyb0RvYy54bWxQSwECLQAUAAYACAAAACEAJ/brA94AAAAJAQAADwAAAAAAAAAAAAAA&#10;AACMBAAAZHJzL2Rvd25yZXYueG1sUEsFBgAAAAAEAAQA8wAAAJcFAAAAAA==&#10;" strokecolor="#4f81bd" strokeweight="3pt">
                <v:stroke linestyle="thinThin"/>
              </v:rect>
            </w:pict>
          </mc:Fallback>
        </mc:AlternateConten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7108"/>
        <w:gridCol w:w="2464"/>
        <w:gridCol w:w="76"/>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8A05A2">
            <w:pPr>
              <w:rPr>
                <w:rFonts w:ascii="Tahoma" w:hAnsi="Tahoma" w:cs="Tahoma"/>
                <w:sz w:val="20"/>
                <w:szCs w:val="20"/>
              </w:rPr>
            </w:pPr>
            <w:r>
              <w:rPr>
                <w:rFonts w:ascii="Tahoma" w:hAnsi="Tahoma" w:cs="Tahoma"/>
                <w:b/>
                <w:bCs/>
                <w:sz w:val="20"/>
                <w:szCs w:val="20"/>
              </w:rPr>
              <w:t>$</w:t>
            </w:r>
            <w:r w:rsidR="008A05A2">
              <w:rPr>
                <w:rFonts w:ascii="Tahoma" w:hAnsi="Tahoma" w:cs="Tahoma"/>
                <w:b/>
                <w:bCs/>
                <w:sz w:val="20"/>
                <w:szCs w:val="20"/>
              </w:rPr>
              <w:t>2,381,468</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1F1770">
            <w:pPr>
              <w:ind w:firstLine="300"/>
              <w:rPr>
                <w:rFonts w:ascii="Tahoma" w:hAnsi="Tahoma" w:cs="Tahoma"/>
                <w:sz w:val="20"/>
                <w:szCs w:val="20"/>
              </w:rPr>
            </w:pPr>
            <w:r>
              <w:rPr>
                <w:rFonts w:ascii="Tahoma" w:hAnsi="Tahoma" w:cs="Tahoma"/>
                <w:sz w:val="20"/>
                <w:szCs w:val="20"/>
              </w:rPr>
              <w:t>Property</w:t>
            </w:r>
            <w:r w:rsidR="00AE30D2">
              <w:rPr>
                <w:rFonts w:ascii="Tahoma" w:hAnsi="Tahoma" w:cs="Tahoma"/>
                <w:sz w:val="20"/>
                <w:szCs w:val="20"/>
              </w:rPr>
              <w:t xml:space="preserve"> Tax Revenue</w:t>
            </w:r>
          </w:p>
        </w:tc>
        <w:tc>
          <w:tcPr>
            <w:tcW w:w="0" w:type="auto"/>
            <w:tcMar>
              <w:top w:w="15" w:type="dxa"/>
              <w:left w:w="15" w:type="dxa"/>
              <w:bottom w:w="15" w:type="dxa"/>
              <w:right w:w="15" w:type="dxa"/>
            </w:tcMar>
            <w:vAlign w:val="center"/>
            <w:hideMark/>
          </w:tcPr>
          <w:p w:rsidR="00AE30D2" w:rsidRDefault="00FB18CF" w:rsidP="007552E5">
            <w:pPr>
              <w:rPr>
                <w:rFonts w:ascii="Tahoma" w:hAnsi="Tahoma" w:cs="Tahoma"/>
                <w:sz w:val="20"/>
                <w:szCs w:val="20"/>
              </w:rPr>
            </w:pPr>
            <w:r>
              <w:rPr>
                <w:rFonts w:ascii="Tahoma" w:hAnsi="Tahoma" w:cs="Tahoma"/>
                <w:sz w:val="20"/>
                <w:szCs w:val="20"/>
              </w:rPr>
              <w:t xml:space="preserve">$ </w:t>
            </w:r>
            <w:r w:rsidR="008C51CF">
              <w:rPr>
                <w:rFonts w:ascii="Tahoma" w:hAnsi="Tahoma" w:cs="Tahoma"/>
                <w:sz w:val="20"/>
                <w:szCs w:val="20"/>
              </w:rPr>
              <w:t>1,</w:t>
            </w:r>
            <w:r w:rsidR="007552E5">
              <w:rPr>
                <w:rFonts w:ascii="Tahoma" w:hAnsi="Tahoma" w:cs="Tahoma"/>
                <w:sz w:val="20"/>
                <w:szCs w:val="20"/>
              </w:rPr>
              <w:t>383,468</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1F1770" w:rsidP="00FB18CF">
            <w:pPr>
              <w:ind w:firstLine="300"/>
              <w:rPr>
                <w:rFonts w:ascii="Tahoma" w:hAnsi="Tahoma" w:cs="Tahoma"/>
                <w:sz w:val="20"/>
                <w:szCs w:val="20"/>
              </w:rPr>
            </w:pPr>
            <w:r>
              <w:rPr>
                <w:rFonts w:ascii="Tahoma" w:hAnsi="Tahoma" w:cs="Tahoma"/>
                <w:sz w:val="20"/>
                <w:szCs w:val="20"/>
              </w:rPr>
              <w:t>Income</w:t>
            </w:r>
            <w:r w:rsidR="00FB18CF">
              <w:rPr>
                <w:rFonts w:ascii="Tahoma" w:hAnsi="Tahoma" w:cs="Tahoma"/>
                <w:sz w:val="20"/>
                <w:szCs w:val="20"/>
              </w:rPr>
              <w:t xml:space="preserve"> </w:t>
            </w:r>
            <w:r w:rsidR="00F230E7">
              <w:rPr>
                <w:rFonts w:ascii="Tahoma" w:hAnsi="Tahoma" w:cs="Tahoma"/>
                <w:sz w:val="20"/>
                <w:szCs w:val="20"/>
              </w:rPr>
              <w:t>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7552E5">
            <w:pPr>
              <w:rPr>
                <w:rFonts w:ascii="Tahoma" w:hAnsi="Tahoma" w:cs="Tahoma"/>
                <w:sz w:val="20"/>
                <w:szCs w:val="20"/>
              </w:rPr>
            </w:pPr>
            <w:r>
              <w:rPr>
                <w:rFonts w:ascii="Tahoma" w:hAnsi="Tahoma" w:cs="Tahoma"/>
                <w:sz w:val="20"/>
                <w:szCs w:val="20"/>
              </w:rPr>
              <w:t xml:space="preserve">$ </w:t>
            </w:r>
            <w:r w:rsidR="007552E5">
              <w:rPr>
                <w:rFonts w:ascii="Tahoma" w:hAnsi="Tahoma" w:cs="Tahoma"/>
                <w:sz w:val="20"/>
                <w:szCs w:val="20"/>
              </w:rPr>
              <w:t>736,000</w:t>
            </w:r>
            <w:r w:rsidR="001F1770">
              <w:rPr>
                <w:rFonts w:ascii="Tahoma" w:hAnsi="Tahoma" w:cs="Tahoma"/>
                <w:sz w:val="20"/>
                <w:szCs w:val="20"/>
              </w:rPr>
              <w:t xml:space="preserve"> </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1F1770">
            <w:pPr>
              <w:ind w:firstLine="300"/>
              <w:rPr>
                <w:rFonts w:ascii="Tahoma" w:hAnsi="Tahoma" w:cs="Tahoma"/>
                <w:sz w:val="20"/>
                <w:szCs w:val="20"/>
              </w:rPr>
            </w:pPr>
            <w:r>
              <w:rPr>
                <w:rFonts w:ascii="Tahoma" w:hAnsi="Tahoma" w:cs="Tahoma"/>
                <w:sz w:val="20"/>
                <w:szCs w:val="20"/>
              </w:rPr>
              <w:t>Sales</w:t>
            </w:r>
            <w:r w:rsidR="00FB18CF">
              <w:rPr>
                <w:rFonts w:ascii="Tahoma" w:hAnsi="Tahoma" w:cs="Tahoma"/>
                <w:sz w:val="20"/>
                <w:szCs w:val="20"/>
              </w:rPr>
              <w:t xml:space="preserve"> </w:t>
            </w:r>
            <w:r w:rsidR="00AE30D2">
              <w:rPr>
                <w:rFonts w:ascii="Tahoma" w:hAnsi="Tahoma" w:cs="Tahoma"/>
                <w:sz w:val="20"/>
                <w:szCs w:val="20"/>
              </w:rPr>
              <w:t>Tax Revenue</w:t>
            </w:r>
          </w:p>
        </w:tc>
        <w:tc>
          <w:tcPr>
            <w:tcW w:w="0" w:type="auto"/>
            <w:tcMar>
              <w:top w:w="15" w:type="dxa"/>
              <w:left w:w="15" w:type="dxa"/>
              <w:bottom w:w="15" w:type="dxa"/>
              <w:right w:w="15" w:type="dxa"/>
            </w:tcMar>
            <w:vAlign w:val="center"/>
            <w:hideMark/>
          </w:tcPr>
          <w:p w:rsidR="00AE30D2" w:rsidRDefault="00F85F2E" w:rsidP="001F1770">
            <w:pPr>
              <w:rPr>
                <w:rFonts w:ascii="Tahoma" w:hAnsi="Tahoma" w:cs="Tahoma"/>
                <w:sz w:val="20"/>
                <w:szCs w:val="20"/>
              </w:rPr>
            </w:pPr>
            <w:r>
              <w:rPr>
                <w:rFonts w:ascii="Tahoma" w:hAnsi="Tahoma" w:cs="Tahoma"/>
                <w:sz w:val="20"/>
                <w:szCs w:val="20"/>
              </w:rPr>
              <w:t xml:space="preserve">$ </w:t>
            </w:r>
            <w:r w:rsidR="007552E5">
              <w:rPr>
                <w:rFonts w:ascii="Tahoma" w:hAnsi="Tahoma" w:cs="Tahoma"/>
                <w:sz w:val="20"/>
                <w:szCs w:val="20"/>
              </w:rPr>
              <w:t>262</w:t>
            </w:r>
            <w:r w:rsidR="001F1770">
              <w:rPr>
                <w:rFonts w:ascii="Tahoma" w:hAnsi="Tahoma" w:cs="Tahoma"/>
                <w:sz w:val="20"/>
                <w:szCs w:val="20"/>
              </w:rPr>
              <w:t xml:space="preserve">,000     </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305"/>
        <w:gridCol w:w="1343"/>
      </w:tblGrid>
      <w:tr w:rsidR="00E732C9" w:rsidTr="00AE30D2">
        <w:trPr>
          <w:tblCellSpacing w:w="0" w:type="dxa"/>
        </w:trPr>
        <w:tc>
          <w:tcPr>
            <w:tcW w:w="0" w:type="auto"/>
            <w:tcMar>
              <w:top w:w="15" w:type="dxa"/>
              <w:left w:w="15" w:type="dxa"/>
              <w:bottom w:w="15" w:type="dxa"/>
              <w:right w:w="15" w:type="dxa"/>
            </w:tcMar>
            <w:vAlign w:val="center"/>
          </w:tcPr>
          <w:p w:rsidR="00AE30D2" w:rsidRDefault="004A6C0F">
            <w:pPr>
              <w:spacing w:before="100" w:beforeAutospacing="1"/>
              <w:outlineLvl w:val="1"/>
              <w:rPr>
                <w:rFonts w:ascii="Tahoma" w:eastAsia="Times New Roman" w:hAnsi="Tahoma" w:cs="Tahoma"/>
                <w:sz w:val="24"/>
                <w:szCs w:val="24"/>
              </w:rPr>
            </w:pPr>
            <w:r>
              <w:rPr>
                <w:noProof/>
              </w:rPr>
              <mc:AlternateContent>
                <mc:Choice Requires="wps">
                  <w:drawing>
                    <wp:anchor distT="0" distB="0" distL="114300" distR="114300" simplePos="0" relativeHeight="251658752" behindDoc="1" locked="0" layoutInCell="1" allowOverlap="1">
                      <wp:simplePos x="0" y="0"/>
                      <wp:positionH relativeFrom="column">
                        <wp:posOffset>-224790</wp:posOffset>
                      </wp:positionH>
                      <wp:positionV relativeFrom="paragraph">
                        <wp:posOffset>-62230</wp:posOffset>
                      </wp:positionV>
                      <wp:extent cx="6638925" cy="1769745"/>
                      <wp:effectExtent l="26670" t="20955" r="20955"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769745"/>
                              </a:xfrm>
                              <a:prstGeom prst="rect">
                                <a:avLst/>
                              </a:prstGeom>
                              <a:solidFill>
                                <a:srgbClr val="FFFFFF"/>
                              </a:solidFill>
                              <a:ln w="38100" cmpd="dbl">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C637" id="Rectangle 18" o:spid="_x0000_s1026" style="position:absolute;margin-left:-17.7pt;margin-top:-4.9pt;width:522.75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GMAIAAEoEAAAOAAAAZHJzL2Uyb0RvYy54bWysVNuO0zAQfUfiHyy/0zTdXtKo6WppKUJa&#10;YMXCB7iO01j4xtht2v16xk63dIEnRB6sGc/4+MyZcRa3R63IQYCX1lQ0HwwpEYbbWppdRb993bwp&#10;KPGBmZopa0RFT8LT2+XrV4vOlWJkW6tqAQRBjC87V9E2BFdmmeet0MwPrBMGg40FzQK6sMtqYB2i&#10;a5WNhsNp1lmoHVguvMfddR+ky4TfNIKHz03jRSCqosgtpBXSuo1rtlywcgfMtZKfabB/YKGZNHjp&#10;BWrNAiN7kH9AacnBetuEAbc6s00juUg1YDX58LdqHlvmRKoFxfHuIpP/f7D80+EBiKwrekOJYRpb&#10;9AVFY2anBMmLqE/nfIlpj+4BYoXe3Vv+3RNjVy2miTsA27WC1cgqj/nZiwPR8XiUbLuPtkZ4tg82&#10;SXVsQEdAFIEcU0dOl46IYyAcN6fTm2I+mlDCMZbPpvPZeJLuYOXzcQc+vBdWk2hUFJB9gmeHex8i&#10;HVY+pyT6Vsl6I5VKDuy2KwXkwHA8Nuk7o/vrNGVIhwIV+RBHiGuHatVblW55keev4cabIn+7/huc&#10;lgFnXkld0WIYv5jEyqjhO1MnOzCpehvpK3MWNerY92Nr6xNqCrYfaHyAaLQWnijpcJgr6n/sGQhK&#10;1AeDfZnn43Gc/uSMJ7MROnAd2V5HmOEIVdFASW+uQv9i9g7krsWb8lS7sXfYy0YmlWOfe1Znsjiw&#10;Sfzz44ov4tpPWb9+AcufAAAA//8DAFBLAwQUAAYACAAAACEArcjXmuAAAAALAQAADwAAAGRycy9k&#10;b3ducmV2LnhtbEyPQW/CMAyF75P2HyJP2mWCZGVFUJqiiWmX3QZMYrfQeG1F41RNKN2/nzkx+WLr&#10;PT1/L1+PrhUD9qHxpOF5qkAgld42VGnY794nCxAhGrKm9YQafjHAuri/y01m/YU+cdjGSnAIhcxo&#10;qGPsMilDWaMzYeo7JNZ+fO9M5LOvpO3NhcNdKxOl5tKZhvhDbTrc1FietmenwXZv309fO5t+JAdU&#10;Q9zTYZPOtH58GF9XICKO8WaGKz6jQ8FMR38mG0SrYTJLX9jKy5IrXA2KB8RRQzJfLEEWufzfofgD&#10;AAD//wMAUEsBAi0AFAAGAAgAAAAhALaDOJL+AAAA4QEAABMAAAAAAAAAAAAAAAAAAAAAAFtDb250&#10;ZW50X1R5cGVzXS54bWxQSwECLQAUAAYACAAAACEAOP0h/9YAAACUAQAACwAAAAAAAAAAAAAAAAAv&#10;AQAAX3JlbHMvLnJlbHNQSwECLQAUAAYACAAAACEASPg5hjACAABKBAAADgAAAAAAAAAAAAAAAAAu&#10;AgAAZHJzL2Uyb0RvYy54bWxQSwECLQAUAAYACAAAACEArcjXmuAAAAALAQAADwAAAAAAAAAAAAAA&#10;AACKBAAAZHJzL2Rvd25yZXYueG1sUEsFBgAAAAAEAAQA8wAAAJcFAAAAAA==&#10;" strokecolor="#4f81bd" strokeweight="3pt">
                      <v:stroke linestyle="thinThin"/>
                    </v:rect>
                  </w:pict>
                </mc:Fallback>
              </mc:AlternateConten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7552E5">
            <w:pPr>
              <w:rPr>
                <w:rFonts w:ascii="Tahoma" w:eastAsia="Times New Roman" w:hAnsi="Tahoma" w:cs="Tahoma"/>
                <w:b/>
                <w:bCs/>
                <w:sz w:val="20"/>
                <w:szCs w:val="20"/>
              </w:rPr>
            </w:pPr>
            <w:r>
              <w:rPr>
                <w:rFonts w:ascii="Tahoma" w:eastAsia="Times New Roman" w:hAnsi="Tahoma" w:cs="Tahoma"/>
                <w:b/>
                <w:bCs/>
                <w:sz w:val="20"/>
                <w:szCs w:val="20"/>
              </w:rPr>
              <w:t>$</w:t>
            </w:r>
            <w:r w:rsidR="007552E5">
              <w:rPr>
                <w:rFonts w:ascii="Tahoma" w:eastAsia="Times New Roman" w:hAnsi="Tahoma" w:cs="Tahoma"/>
                <w:b/>
                <w:bCs/>
                <w:sz w:val="20"/>
                <w:szCs w:val="20"/>
              </w:rPr>
              <w:t>732,248</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1A156F" w:rsidP="005F46DD">
            <w:pPr>
              <w:ind w:firstLine="300"/>
              <w:rPr>
                <w:rFonts w:ascii="Tahoma" w:eastAsia="Times New Roman" w:hAnsi="Tahoma" w:cs="Tahoma"/>
                <w:sz w:val="20"/>
                <w:szCs w:val="20"/>
              </w:rPr>
            </w:pPr>
            <w:r>
              <w:rPr>
                <w:rFonts w:ascii="Tahoma" w:eastAsia="Times New Roman" w:hAnsi="Tahoma" w:cs="Tahoma"/>
                <w:sz w:val="20"/>
                <w:szCs w:val="20"/>
              </w:rPr>
              <w:t xml:space="preserve">Property </w:t>
            </w:r>
            <w:r w:rsidR="00BF0B57">
              <w:rPr>
                <w:rFonts w:ascii="Tahoma" w:eastAsia="Times New Roman" w:hAnsi="Tahoma" w:cs="Tahoma"/>
                <w:sz w:val="20"/>
                <w:szCs w:val="20"/>
              </w:rPr>
              <w:t>Tax</w:t>
            </w:r>
            <w:r w:rsidR="00C9141D">
              <w:rPr>
                <w:rFonts w:ascii="Tahoma" w:eastAsia="Times New Roman" w:hAnsi="Tahoma" w:cs="Tahoma"/>
                <w:sz w:val="20"/>
                <w:szCs w:val="20"/>
              </w:rPr>
              <w:t xml:space="preserve"> </w:t>
            </w:r>
          </w:p>
        </w:tc>
        <w:tc>
          <w:tcPr>
            <w:tcW w:w="0" w:type="auto"/>
            <w:tcMar>
              <w:top w:w="15" w:type="dxa"/>
              <w:left w:w="15" w:type="dxa"/>
              <w:bottom w:w="15" w:type="dxa"/>
              <w:right w:w="15" w:type="dxa"/>
            </w:tcMar>
            <w:vAlign w:val="center"/>
            <w:hideMark/>
          </w:tcPr>
          <w:p w:rsidR="00AE30D2" w:rsidRDefault="00AE30D2" w:rsidP="007552E5">
            <w:pPr>
              <w:rPr>
                <w:rFonts w:ascii="Tahoma" w:eastAsia="Times New Roman" w:hAnsi="Tahoma" w:cs="Tahoma"/>
                <w:sz w:val="20"/>
                <w:szCs w:val="20"/>
              </w:rPr>
            </w:pPr>
            <w:r>
              <w:rPr>
                <w:rFonts w:ascii="Tahoma" w:eastAsia="Times New Roman" w:hAnsi="Tahoma" w:cs="Tahoma"/>
                <w:sz w:val="20"/>
                <w:szCs w:val="20"/>
              </w:rPr>
              <w:t>$</w:t>
            </w:r>
            <w:r w:rsidR="00BC02F5">
              <w:rPr>
                <w:rFonts w:ascii="Tahoma" w:eastAsia="Times New Roman" w:hAnsi="Tahoma" w:cs="Tahoma"/>
                <w:sz w:val="20"/>
                <w:szCs w:val="20"/>
              </w:rPr>
              <w:t xml:space="preserve"> </w:t>
            </w:r>
            <w:r w:rsidR="0060790D">
              <w:rPr>
                <w:rFonts w:ascii="Tahoma" w:eastAsia="Times New Roman" w:hAnsi="Tahoma" w:cs="Tahoma"/>
                <w:sz w:val="20"/>
                <w:szCs w:val="20"/>
              </w:rPr>
              <w:t xml:space="preserve"> </w:t>
            </w:r>
            <w:r w:rsidR="007552E5">
              <w:rPr>
                <w:rFonts w:ascii="Tahoma" w:eastAsia="Times New Roman" w:hAnsi="Tahoma" w:cs="Tahoma"/>
                <w:sz w:val="20"/>
                <w:szCs w:val="20"/>
              </w:rPr>
              <w:t>690,874</w:t>
            </w:r>
          </w:p>
        </w:tc>
      </w:tr>
      <w:tr w:rsidR="00E732C9" w:rsidTr="00AE30D2">
        <w:trPr>
          <w:tblCellSpacing w:w="0" w:type="dxa"/>
        </w:trPr>
        <w:tc>
          <w:tcPr>
            <w:tcW w:w="0" w:type="auto"/>
            <w:tcMar>
              <w:top w:w="15" w:type="dxa"/>
              <w:left w:w="15" w:type="dxa"/>
              <w:bottom w:w="15" w:type="dxa"/>
              <w:right w:w="15" w:type="dxa"/>
            </w:tcMar>
            <w:vAlign w:val="center"/>
          </w:tcPr>
          <w:p w:rsidR="00A827D9" w:rsidRDefault="00577106" w:rsidP="00BF0B57">
            <w:pPr>
              <w:ind w:firstLine="300"/>
              <w:rPr>
                <w:rFonts w:ascii="Tahoma" w:eastAsia="Times New Roman" w:hAnsi="Tahoma" w:cs="Tahoma"/>
                <w:sz w:val="20"/>
                <w:szCs w:val="20"/>
              </w:rPr>
            </w:pPr>
            <w:r>
              <w:rPr>
                <w:rFonts w:ascii="Tahoma" w:eastAsia="Times New Roman" w:hAnsi="Tahoma" w:cs="Tahoma"/>
                <w:sz w:val="20"/>
                <w:szCs w:val="20"/>
              </w:rPr>
              <w:t>Mortgage</w:t>
            </w:r>
            <w:r w:rsidR="00BF0B57">
              <w:rPr>
                <w:rFonts w:ascii="Tahoma" w:eastAsia="Times New Roman" w:hAnsi="Tahoma" w:cs="Tahoma"/>
                <w:sz w:val="20"/>
                <w:szCs w:val="20"/>
              </w:rPr>
              <w:t xml:space="preserve"> T</w:t>
            </w:r>
            <w:r w:rsidR="00A827D9">
              <w:rPr>
                <w:rFonts w:ascii="Tahoma" w:eastAsia="Times New Roman" w:hAnsi="Tahoma" w:cs="Tahoma"/>
                <w:sz w:val="20"/>
                <w:szCs w:val="20"/>
              </w:rPr>
              <w:t xml:space="preserve">ax                                                                                                                 </w:t>
            </w:r>
          </w:p>
        </w:tc>
        <w:tc>
          <w:tcPr>
            <w:tcW w:w="0" w:type="auto"/>
            <w:tcMar>
              <w:top w:w="15" w:type="dxa"/>
              <w:left w:w="15" w:type="dxa"/>
              <w:bottom w:w="15" w:type="dxa"/>
              <w:right w:w="15" w:type="dxa"/>
            </w:tcMar>
            <w:vAlign w:val="center"/>
          </w:tcPr>
          <w:p w:rsidR="00A827D9" w:rsidRDefault="001A156F" w:rsidP="00F85F2E">
            <w:pPr>
              <w:rPr>
                <w:rFonts w:ascii="Tahoma" w:eastAsia="Times New Roman" w:hAnsi="Tahoma" w:cs="Tahoma"/>
                <w:sz w:val="20"/>
                <w:szCs w:val="20"/>
              </w:rPr>
            </w:pPr>
            <w:r>
              <w:rPr>
                <w:rFonts w:ascii="Tahoma" w:eastAsia="Times New Roman" w:hAnsi="Tahoma" w:cs="Tahoma"/>
                <w:sz w:val="20"/>
                <w:szCs w:val="20"/>
              </w:rPr>
              <w:t xml:space="preserve">$  </w:t>
            </w:r>
            <w:r w:rsidR="00404732">
              <w:rPr>
                <w:rFonts w:ascii="Tahoma" w:eastAsia="Times New Roman" w:hAnsi="Tahoma" w:cs="Tahoma"/>
                <w:sz w:val="20"/>
                <w:szCs w:val="20"/>
              </w:rPr>
              <w:t xml:space="preserve"> </w:t>
            </w:r>
            <w:r w:rsidR="00F85F2E">
              <w:rPr>
                <w:rFonts w:ascii="Tahoma" w:eastAsia="Times New Roman" w:hAnsi="Tahoma" w:cs="Tahoma"/>
                <w:sz w:val="20"/>
                <w:szCs w:val="20"/>
              </w:rPr>
              <w:t>41,374</w:t>
            </w: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24"/>
        <w:gridCol w:w="4824"/>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4A6C0F" w:rsidP="00AE30D2">
      <w:pPr>
        <w:pStyle w:val="NormalWeb"/>
        <w:spacing w:line="312" w:lineRule="atLeast"/>
        <w:jc w:val="center"/>
        <w:rPr>
          <w:rFonts w:ascii="Arial" w:hAnsi="Arial" w:cs="Arial"/>
          <w:b/>
          <w:color w:val="333333"/>
          <w:sz w:val="18"/>
          <w:szCs w:val="18"/>
        </w:rPr>
      </w:pPr>
      <w:r>
        <w:rPr>
          <w:noProof/>
        </w:rPr>
        <mc:AlternateContent>
          <mc:Choice Requires="wps">
            <w:drawing>
              <wp:anchor distT="0" distB="0" distL="114300" distR="114300" simplePos="0" relativeHeight="251655680" behindDoc="1" locked="0" layoutInCell="1" allowOverlap="1">
                <wp:simplePos x="0" y="0"/>
                <wp:positionH relativeFrom="column">
                  <wp:posOffset>-251460</wp:posOffset>
                </wp:positionH>
                <wp:positionV relativeFrom="paragraph">
                  <wp:posOffset>6478905</wp:posOffset>
                </wp:positionV>
                <wp:extent cx="6638925" cy="771525"/>
                <wp:effectExtent l="19050" t="20955" r="19050" b="266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1525"/>
                        </a:xfrm>
                        <a:prstGeom prst="rect">
                          <a:avLst/>
                        </a:prstGeom>
                        <a:solidFill>
                          <a:srgbClr val="FFFFFF"/>
                        </a:solidFill>
                        <a:ln w="38100" cmpd="dbl">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5B5E" id="Rectangle 15" o:spid="_x0000_s1026" style="position:absolute;margin-left:-19.8pt;margin-top:510.15pt;width:522.7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rMLQIAAEkEAAAOAAAAZHJzL2Uyb0RvYy54bWysVNuO0zAQfUfiHyy/0zTd3jZqulpaipAW&#10;WLHwAY7jJBa+MXab7n49Y6dbusATIg/WjOf4eObMOKubo1bkIMBLa0qaj8aUCMNtLU1b0m9fd2+W&#10;lPjATM2UNaKkj8LTm/XrV6veFWJiO6tqAQRJjC96V9IuBFdkmeed0MyPrBMGg40FzQK60GY1sB7Z&#10;tcom4/E86y3UDiwX3uPudgjSdeJvGsHD56bxIhBVUswtpBXSWsU1W69Y0QJzneSnNNg/ZKGZNHjp&#10;mWrLAiN7kH9QacnBetuEEbc6s00juUg1YDX5+LdqHjrmRKoFxfHuLJP/f7T80+EeiKxLOqHEMI0t&#10;+oKiMdMqQfJZ1Kd3vkDYg7uHWKF3d5Z/98TYTYcwcQtg+06wGrPKIz57cSA6Ho+Sqv9oa6Rn+2CT&#10;VMcGdCREEcgxdeTx3BFxDITj5nx+tbyezCjhGFss8hna8QpWPJ924MN7YTWJRkkBk0/s7HDnwwB9&#10;hqTsrZL1TiqVHGirjQJyYDgdu/Sd2P0lTBnSl/RqmY9xgrh2KFZdqXTLC5y/pJvulvnb7d/otAw4&#10;8krqki7H8YsgVkQJ35k62YFJNdhYqTInTaOMQzsqWz+ipGCHecb3h0Zn4YmSHme5pP7HnoGgRH0w&#10;2JbrfDqNw5+c6WwxQQcuI9VlhBmOVCUNlAzmJgwPZu9Ath3elKfajb3FVjYyqRzbPGR1ShbnNfXp&#10;9Lbig7j0E+rXH2D9EwAA//8DAFBLAwQUAAYACAAAACEAvk5aXuIAAAAOAQAADwAAAGRycy9kb3du&#10;cmV2LnhtbEyPwU7DMAyG70i8Q2QkLmhL2rJpK00nNMSFG9uQxi1rTFvROFWTdeXt8U5ws/V/+v25&#10;2EyuEyMOofWkIZkrEEiVty3VGg7719kKRIiGrOk8oYYfDLApb28Kk1t/oXccd7EWXEIhNxqaGPtc&#10;ylA16EyY+x6Jsy8/OBN5HWppB3PhctfJVKmldKYlvtCYHrcNVt+7s9Ng+5fPh4+9XbylR1RjPNBx&#10;u8i0vr+bnp9ARJziHwxXfVaHkp1O/kw2iE7DLFsvGeVApSoDcUWUWqxBnHhKHpMVyLKQ/98ofwEA&#10;AP//AwBQSwECLQAUAAYACAAAACEAtoM4kv4AAADhAQAAEwAAAAAAAAAAAAAAAAAAAAAAW0NvbnRl&#10;bnRfVHlwZXNdLnhtbFBLAQItABQABgAIAAAAIQA4/SH/1gAAAJQBAAALAAAAAAAAAAAAAAAAAC8B&#10;AABfcmVscy8ucmVsc1BLAQItABQABgAIAAAAIQAZyzrMLQIAAEkEAAAOAAAAAAAAAAAAAAAAAC4C&#10;AABkcnMvZTJvRG9jLnhtbFBLAQItABQABgAIAAAAIQC+Tlpe4gAAAA4BAAAPAAAAAAAAAAAAAAAA&#10;AIcEAABkcnMvZG93bnJldi54bWxQSwUGAAAAAAQABADzAAAAlgUAAAAA&#10;" strokecolor="#4f81bd" strokeweight="3pt">
                <v:stroke linestyle="thinThin"/>
              </v:rect>
            </w:pict>
          </mc:Fallback>
        </mc:AlternateConten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 xml:space="preserve">Utilizing </w:t>
      </w:r>
      <w:proofErr w:type="spellStart"/>
      <w:r>
        <w:rPr>
          <w:sz w:val="16"/>
          <w:szCs w:val="16"/>
        </w:rPr>
        <w:t>informANALYTICS</w:t>
      </w:r>
      <w:proofErr w:type="spellEnd"/>
      <w:r>
        <w:rPr>
          <w:sz w:val="16"/>
          <w:szCs w:val="16"/>
        </w:rPr>
        <w:t xml:space="preserve">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89"/>
    <w:rsid w:val="00011177"/>
    <w:rsid w:val="00011CEF"/>
    <w:rsid w:val="00035852"/>
    <w:rsid w:val="0005378C"/>
    <w:rsid w:val="00057E0F"/>
    <w:rsid w:val="00071A2C"/>
    <w:rsid w:val="00081A9A"/>
    <w:rsid w:val="000A210A"/>
    <w:rsid w:val="000B203E"/>
    <w:rsid w:val="000C056E"/>
    <w:rsid w:val="000C67C0"/>
    <w:rsid w:val="000E1521"/>
    <w:rsid w:val="000E26FA"/>
    <w:rsid w:val="000F44B5"/>
    <w:rsid w:val="001050DC"/>
    <w:rsid w:val="00105AE0"/>
    <w:rsid w:val="00110C3C"/>
    <w:rsid w:val="00135325"/>
    <w:rsid w:val="00166A25"/>
    <w:rsid w:val="00170544"/>
    <w:rsid w:val="001710F1"/>
    <w:rsid w:val="00181640"/>
    <w:rsid w:val="001A156F"/>
    <w:rsid w:val="001B2872"/>
    <w:rsid w:val="001D01EA"/>
    <w:rsid w:val="001D7FBA"/>
    <w:rsid w:val="001E38AE"/>
    <w:rsid w:val="001E4D57"/>
    <w:rsid w:val="001E7D22"/>
    <w:rsid w:val="001F1770"/>
    <w:rsid w:val="00200C78"/>
    <w:rsid w:val="002035F0"/>
    <w:rsid w:val="00210D34"/>
    <w:rsid w:val="00212490"/>
    <w:rsid w:val="00213C75"/>
    <w:rsid w:val="00215AF7"/>
    <w:rsid w:val="00220821"/>
    <w:rsid w:val="00221592"/>
    <w:rsid w:val="00234D15"/>
    <w:rsid w:val="002525D6"/>
    <w:rsid w:val="00253086"/>
    <w:rsid w:val="00274FA1"/>
    <w:rsid w:val="002A1D21"/>
    <w:rsid w:val="002A2DEC"/>
    <w:rsid w:val="002A5445"/>
    <w:rsid w:val="002B2B16"/>
    <w:rsid w:val="002B2E48"/>
    <w:rsid w:val="002C2484"/>
    <w:rsid w:val="002C62EF"/>
    <w:rsid w:val="002E08B3"/>
    <w:rsid w:val="002E4D24"/>
    <w:rsid w:val="002F4323"/>
    <w:rsid w:val="00301ECA"/>
    <w:rsid w:val="0030292F"/>
    <w:rsid w:val="003241F3"/>
    <w:rsid w:val="003259E6"/>
    <w:rsid w:val="00333A8A"/>
    <w:rsid w:val="00335AC0"/>
    <w:rsid w:val="00372F7B"/>
    <w:rsid w:val="003813AA"/>
    <w:rsid w:val="00384413"/>
    <w:rsid w:val="00387423"/>
    <w:rsid w:val="0039070C"/>
    <w:rsid w:val="003D463F"/>
    <w:rsid w:val="003E162A"/>
    <w:rsid w:val="003F547C"/>
    <w:rsid w:val="00404732"/>
    <w:rsid w:val="00414C05"/>
    <w:rsid w:val="00425BF1"/>
    <w:rsid w:val="00431E9D"/>
    <w:rsid w:val="00436DF6"/>
    <w:rsid w:val="00471654"/>
    <w:rsid w:val="00480843"/>
    <w:rsid w:val="004A6C0F"/>
    <w:rsid w:val="004B29D0"/>
    <w:rsid w:val="004C13C1"/>
    <w:rsid w:val="004C2771"/>
    <w:rsid w:val="004C5E79"/>
    <w:rsid w:val="004D104B"/>
    <w:rsid w:val="004D7988"/>
    <w:rsid w:val="004E08C0"/>
    <w:rsid w:val="004F046E"/>
    <w:rsid w:val="004F2BBA"/>
    <w:rsid w:val="004F41BB"/>
    <w:rsid w:val="004F64F6"/>
    <w:rsid w:val="00513C5B"/>
    <w:rsid w:val="00522D8F"/>
    <w:rsid w:val="00530603"/>
    <w:rsid w:val="0054317B"/>
    <w:rsid w:val="00551FC8"/>
    <w:rsid w:val="00556737"/>
    <w:rsid w:val="00562908"/>
    <w:rsid w:val="005629FB"/>
    <w:rsid w:val="005740CD"/>
    <w:rsid w:val="00576EC3"/>
    <w:rsid w:val="00577106"/>
    <w:rsid w:val="00584871"/>
    <w:rsid w:val="00590FA7"/>
    <w:rsid w:val="00593ACC"/>
    <w:rsid w:val="0059706E"/>
    <w:rsid w:val="005A4D57"/>
    <w:rsid w:val="005B4DF2"/>
    <w:rsid w:val="005B78A8"/>
    <w:rsid w:val="005C6955"/>
    <w:rsid w:val="005D61A5"/>
    <w:rsid w:val="005D6E71"/>
    <w:rsid w:val="005E0546"/>
    <w:rsid w:val="005F4251"/>
    <w:rsid w:val="005F46DD"/>
    <w:rsid w:val="005F6CAD"/>
    <w:rsid w:val="0060790D"/>
    <w:rsid w:val="00611334"/>
    <w:rsid w:val="00611BA3"/>
    <w:rsid w:val="00615B2F"/>
    <w:rsid w:val="00616F24"/>
    <w:rsid w:val="006205C5"/>
    <w:rsid w:val="00620E95"/>
    <w:rsid w:val="00626FDB"/>
    <w:rsid w:val="00632AAF"/>
    <w:rsid w:val="00641965"/>
    <w:rsid w:val="00641CF5"/>
    <w:rsid w:val="006438E0"/>
    <w:rsid w:val="00646041"/>
    <w:rsid w:val="006461A9"/>
    <w:rsid w:val="00646E2A"/>
    <w:rsid w:val="0064739E"/>
    <w:rsid w:val="00657696"/>
    <w:rsid w:val="00667C59"/>
    <w:rsid w:val="006735FF"/>
    <w:rsid w:val="006854D4"/>
    <w:rsid w:val="006A6A43"/>
    <w:rsid w:val="006B3F1A"/>
    <w:rsid w:val="006C0A64"/>
    <w:rsid w:val="006C7D36"/>
    <w:rsid w:val="006D520F"/>
    <w:rsid w:val="006E09FD"/>
    <w:rsid w:val="006E6F08"/>
    <w:rsid w:val="00701A2D"/>
    <w:rsid w:val="00702C50"/>
    <w:rsid w:val="00706BD4"/>
    <w:rsid w:val="00711E15"/>
    <w:rsid w:val="00732C5B"/>
    <w:rsid w:val="007430AB"/>
    <w:rsid w:val="00744099"/>
    <w:rsid w:val="007552E5"/>
    <w:rsid w:val="00765645"/>
    <w:rsid w:val="0077572D"/>
    <w:rsid w:val="00785D31"/>
    <w:rsid w:val="00792B8F"/>
    <w:rsid w:val="00794FAB"/>
    <w:rsid w:val="007A4106"/>
    <w:rsid w:val="007E1312"/>
    <w:rsid w:val="007E372A"/>
    <w:rsid w:val="007E4E35"/>
    <w:rsid w:val="007E7165"/>
    <w:rsid w:val="00800657"/>
    <w:rsid w:val="00817525"/>
    <w:rsid w:val="00850011"/>
    <w:rsid w:val="00864884"/>
    <w:rsid w:val="00875121"/>
    <w:rsid w:val="00877D2B"/>
    <w:rsid w:val="00887A90"/>
    <w:rsid w:val="00890744"/>
    <w:rsid w:val="008932F1"/>
    <w:rsid w:val="008A0389"/>
    <w:rsid w:val="008A05A2"/>
    <w:rsid w:val="008A6D77"/>
    <w:rsid w:val="008B016E"/>
    <w:rsid w:val="008C51CF"/>
    <w:rsid w:val="008D1D1D"/>
    <w:rsid w:val="008D2E60"/>
    <w:rsid w:val="008E0B58"/>
    <w:rsid w:val="008F4C4E"/>
    <w:rsid w:val="009063FD"/>
    <w:rsid w:val="00913950"/>
    <w:rsid w:val="00913C0A"/>
    <w:rsid w:val="009149FE"/>
    <w:rsid w:val="00925879"/>
    <w:rsid w:val="009333FB"/>
    <w:rsid w:val="00933CC5"/>
    <w:rsid w:val="00936FD1"/>
    <w:rsid w:val="009449CC"/>
    <w:rsid w:val="00954015"/>
    <w:rsid w:val="00956CF0"/>
    <w:rsid w:val="00960975"/>
    <w:rsid w:val="00966453"/>
    <w:rsid w:val="0099503D"/>
    <w:rsid w:val="00995077"/>
    <w:rsid w:val="009A473C"/>
    <w:rsid w:val="009A6A26"/>
    <w:rsid w:val="009B341C"/>
    <w:rsid w:val="009B4888"/>
    <w:rsid w:val="009B7301"/>
    <w:rsid w:val="009D1D4C"/>
    <w:rsid w:val="009D4C18"/>
    <w:rsid w:val="009E4E4A"/>
    <w:rsid w:val="009F23F2"/>
    <w:rsid w:val="009F64C6"/>
    <w:rsid w:val="00A0596D"/>
    <w:rsid w:val="00A13774"/>
    <w:rsid w:val="00A2040A"/>
    <w:rsid w:val="00A244C6"/>
    <w:rsid w:val="00A30426"/>
    <w:rsid w:val="00A33060"/>
    <w:rsid w:val="00A508E1"/>
    <w:rsid w:val="00A56AB0"/>
    <w:rsid w:val="00A56B43"/>
    <w:rsid w:val="00A61780"/>
    <w:rsid w:val="00A701C2"/>
    <w:rsid w:val="00A71E2C"/>
    <w:rsid w:val="00A75449"/>
    <w:rsid w:val="00A827D9"/>
    <w:rsid w:val="00A9463C"/>
    <w:rsid w:val="00A95306"/>
    <w:rsid w:val="00A95ABA"/>
    <w:rsid w:val="00AA0700"/>
    <w:rsid w:val="00AA1DBD"/>
    <w:rsid w:val="00AA5CA5"/>
    <w:rsid w:val="00AA5F6A"/>
    <w:rsid w:val="00AA63CC"/>
    <w:rsid w:val="00AB0CBF"/>
    <w:rsid w:val="00AB3E83"/>
    <w:rsid w:val="00AC0154"/>
    <w:rsid w:val="00AD11DD"/>
    <w:rsid w:val="00AE30D2"/>
    <w:rsid w:val="00AE5AA3"/>
    <w:rsid w:val="00AF0ABE"/>
    <w:rsid w:val="00B44240"/>
    <w:rsid w:val="00B50D9D"/>
    <w:rsid w:val="00B6542E"/>
    <w:rsid w:val="00B7157E"/>
    <w:rsid w:val="00B72A8A"/>
    <w:rsid w:val="00B745C9"/>
    <w:rsid w:val="00B9626A"/>
    <w:rsid w:val="00B96B04"/>
    <w:rsid w:val="00B97946"/>
    <w:rsid w:val="00BB16D2"/>
    <w:rsid w:val="00BB7FCE"/>
    <w:rsid w:val="00BC02F5"/>
    <w:rsid w:val="00BC20A1"/>
    <w:rsid w:val="00BC22C0"/>
    <w:rsid w:val="00BC6265"/>
    <w:rsid w:val="00BD2FD5"/>
    <w:rsid w:val="00BE423E"/>
    <w:rsid w:val="00BF0B57"/>
    <w:rsid w:val="00BF259F"/>
    <w:rsid w:val="00BF2687"/>
    <w:rsid w:val="00BF6AB9"/>
    <w:rsid w:val="00BF7161"/>
    <w:rsid w:val="00C06D4F"/>
    <w:rsid w:val="00C10237"/>
    <w:rsid w:val="00C47172"/>
    <w:rsid w:val="00C52155"/>
    <w:rsid w:val="00C61BC5"/>
    <w:rsid w:val="00C61DEC"/>
    <w:rsid w:val="00C724E0"/>
    <w:rsid w:val="00C77126"/>
    <w:rsid w:val="00C9141D"/>
    <w:rsid w:val="00CA7FEA"/>
    <w:rsid w:val="00CB07B4"/>
    <w:rsid w:val="00CB2B1E"/>
    <w:rsid w:val="00CB3075"/>
    <w:rsid w:val="00CC3768"/>
    <w:rsid w:val="00CD0AF8"/>
    <w:rsid w:val="00CE206F"/>
    <w:rsid w:val="00CF3144"/>
    <w:rsid w:val="00D03DDD"/>
    <w:rsid w:val="00D10CF8"/>
    <w:rsid w:val="00D2343D"/>
    <w:rsid w:val="00D33A6E"/>
    <w:rsid w:val="00D34605"/>
    <w:rsid w:val="00D3558D"/>
    <w:rsid w:val="00D52421"/>
    <w:rsid w:val="00D57762"/>
    <w:rsid w:val="00D62C6D"/>
    <w:rsid w:val="00D62FE4"/>
    <w:rsid w:val="00D668EC"/>
    <w:rsid w:val="00D71466"/>
    <w:rsid w:val="00D7173E"/>
    <w:rsid w:val="00D748B3"/>
    <w:rsid w:val="00D87E27"/>
    <w:rsid w:val="00D93A20"/>
    <w:rsid w:val="00DA2050"/>
    <w:rsid w:val="00DA27A8"/>
    <w:rsid w:val="00DB535C"/>
    <w:rsid w:val="00DB6165"/>
    <w:rsid w:val="00DB630A"/>
    <w:rsid w:val="00DC2393"/>
    <w:rsid w:val="00DD2E2F"/>
    <w:rsid w:val="00DD35CA"/>
    <w:rsid w:val="00DD4739"/>
    <w:rsid w:val="00DD694C"/>
    <w:rsid w:val="00DE69C4"/>
    <w:rsid w:val="00DF60E4"/>
    <w:rsid w:val="00DF7A5D"/>
    <w:rsid w:val="00E03AAF"/>
    <w:rsid w:val="00E11346"/>
    <w:rsid w:val="00E21E97"/>
    <w:rsid w:val="00E21F4C"/>
    <w:rsid w:val="00E31D3C"/>
    <w:rsid w:val="00E31D7A"/>
    <w:rsid w:val="00E419B0"/>
    <w:rsid w:val="00E43568"/>
    <w:rsid w:val="00E56D73"/>
    <w:rsid w:val="00E732C9"/>
    <w:rsid w:val="00E7684B"/>
    <w:rsid w:val="00E86B95"/>
    <w:rsid w:val="00EA10E6"/>
    <w:rsid w:val="00EA2D37"/>
    <w:rsid w:val="00EA325F"/>
    <w:rsid w:val="00EA6BB3"/>
    <w:rsid w:val="00EA798F"/>
    <w:rsid w:val="00EB4A20"/>
    <w:rsid w:val="00ED0115"/>
    <w:rsid w:val="00ED3CAB"/>
    <w:rsid w:val="00ED79DF"/>
    <w:rsid w:val="00F0004D"/>
    <w:rsid w:val="00F05963"/>
    <w:rsid w:val="00F21C0F"/>
    <w:rsid w:val="00F230E7"/>
    <w:rsid w:val="00F333B3"/>
    <w:rsid w:val="00F445E5"/>
    <w:rsid w:val="00F6535A"/>
    <w:rsid w:val="00F81C37"/>
    <w:rsid w:val="00F854A5"/>
    <w:rsid w:val="00F85F2E"/>
    <w:rsid w:val="00F87715"/>
    <w:rsid w:val="00F87E3A"/>
    <w:rsid w:val="00FB18CF"/>
    <w:rsid w:val="00FC7895"/>
    <w:rsid w:val="00FD1602"/>
    <w:rsid w:val="00FD4258"/>
    <w:rsid w:val="00FD7726"/>
    <w:rsid w:val="00FF18B3"/>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3858"/>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24</cp:revision>
  <cp:lastPrinted>2019-03-04T12:33:00Z</cp:lastPrinted>
  <dcterms:created xsi:type="dcterms:W3CDTF">2020-09-01T18:04:00Z</dcterms:created>
  <dcterms:modified xsi:type="dcterms:W3CDTF">2020-09-10T17:35:00Z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